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png" ContentType="image/png"/>
  <Override PartName="/word/media/rId89.png" ContentType="image/png"/>
  <Override PartName="/word/media/rId84.png" ContentType="image/png"/>
  <Override PartName="/word/media/rId83.png" ContentType="image/png"/>
  <Override PartName="/word/media/rId86.png" ContentType="image/png"/>
  <Override PartName="/word/media/rId87.png" ContentType="image/png"/>
  <Override PartName="/word/media/rId8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r>
        <w:t xml:space="preserve"> </w:t>
      </w:r>
      <w:r>
        <w:t xml:space="preserve">in</w:t>
      </w:r>
      <w:r>
        <w:t xml:space="preserve"> </w:t>
      </w:r>
      <w:r>
        <w:t xml:space="preserve">the</w:t>
      </w:r>
      <w:r>
        <w:t xml:space="preserve"> </w:t>
      </w:r>
      <w:r>
        <w:t xml:space="preserve">Upper</w:t>
      </w:r>
      <w:r>
        <w:t xml:space="preserve"> </w:t>
      </w:r>
      <w:r>
        <w:t xml:space="preserve">Salmon</w:t>
      </w:r>
      <w:r>
        <w:t xml:space="preserve"> </w:t>
      </w:r>
      <w:r>
        <w:t xml:space="preserve">River,</w:t>
      </w:r>
      <w:r>
        <w:t xml:space="preserve"> </w:t>
      </w:r>
      <w:r>
        <w:t xml:space="preserve">Idaho</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20</w:t>
      </w:r>
      <w:r>
        <w:t xml:space="preserve"> </w:t>
      </w:r>
      <w:r>
        <w:t xml:space="preserve">December,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Snake and Columbia rivers drain a network of inland tributaries that provide essnetial spawning and rearing habitat for anadromous Pacific salmon</w:t>
      </w:r>
      <w:r>
        <w:t xml:space="preserve"> </w:t>
      </w:r>
      <w:r>
        <w:rPr>
          <w:iCs/>
          <w:i/>
        </w:rPr>
        <w:t xml:space="preserve">Oncorhynchus</w:t>
      </w:r>
      <w:r>
        <w:t xml:space="preserve"> </w:t>
      </w:r>
      <w:r>
        <w:t xml:space="preserve">spp. and steelhead</w:t>
      </w:r>
      <w:r>
        <w:t xml:space="preserve"> </w:t>
      </w:r>
      <w:r>
        <w:rPr>
          <w:iCs/>
          <w:i/>
        </w:rPr>
        <w:t xml:space="preserve">O. mykiss</w:t>
      </w:r>
      <w:r>
        <w:t xml:space="preserve">. These fishes were historically abundant throughout the drainage basin and consequently have tremendous ecological, cultural, and economic value. Over the last century, salmonid stocks throughout the Snake and Columbia rivers have undergone significant declines related to habitat modification in the freshwater environment (e.g., removal of beavers, river channel simplification, water withdrawals, hydrosystem development) and poor marine conditions, both affecting their survival and recruitment and multiple life stages. Consequently, action agencies have made considerable investments in the rehabilitation of tributary ecosystems and evaulation of factors attributed to the species decline</w:t>
      </w:r>
      <w:r>
        <w:t xml:space="preserve"> </w:t>
      </w:r>
      <w:r>
        <w:t xml:space="preserve">(Roni et al. 2018)</w:t>
      </w:r>
      <w:r>
        <w:t xml:space="preserve">.</w:t>
      </w:r>
    </w:p>
    <w:p>
      <w:pPr>
        <w:pStyle w:val="BodyText"/>
      </w:pPr>
      <w:r>
        <w:t xml:space="preserve">One potentially important, but perhaps under-appreciated source of salmonid mortality is predation on emigrating juveniles by piscivorous fishes. In the lower mainstem Snake and Columbia rivers it is estimated that predation on out-migrating salmonids during peak emigration has a significant negative impact on the overall population and success of population recover</w:t>
      </w:r>
      <w:r>
        <w:t xml:space="preserve"> </w:t>
      </w:r>
      <w:r>
        <w:t xml:space="preserve">(Fresh et al. 2003; Winther et al. 2020)</w:t>
      </w:r>
      <w:r>
        <w:t xml:space="preserve">. Dams and reservoirs in the Columbia River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migration (movement) rates of juvenile salmon are reduced during reservoir passage</w:t>
      </w:r>
      <w:r>
        <w:t xml:space="preserve"> </w:t>
      </w:r>
      <w:r>
        <w:t xml:space="preserve">(Venditti et al. 2000)</w:t>
      </w:r>
      <w:r>
        <w:t xml:space="preserve">, thereby increasing the time migrating smolts are vulnerable to predation. Second, reservoirs and downstream tailraces associated with dams on the Snake and Columbia rivers create favorable slow-water habitat for predatory fishes known to consume juvenile salmonids, such as the Northern Pikeminnow</w:t>
      </w:r>
      <w:r>
        <w:t xml:space="preserve"> </w:t>
      </w:r>
      <w:r>
        <w:rPr>
          <w:iCs/>
          <w:i/>
        </w:rPr>
        <w:t xml:space="preserve">Ptychocheilus oregonsis</w:t>
      </w:r>
      <w:r>
        <w:t xml:space="preserve">. Northern Pikeminnow tolerate and thrive in relatively warm, slow water habitats</w:t>
      </w:r>
      <w:r>
        <w:t xml:space="preserve"> </w:t>
      </w:r>
      <w:r>
        <w:t xml:space="preserve">(Wydoski and Whitney 2003)</w:t>
      </w:r>
      <w:r>
        <w:t xml:space="preserve"> </w:t>
      </w:r>
      <w:r>
        <w:t xml:space="preserve">and consequently have benefited from dams on the Columbia River, becoming abundant predators of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w:t>
      </w:r>
    </w:p>
    <w:p>
      <w:pPr>
        <w:pStyle w:val="BodyText"/>
      </w:pPr>
      <w:r>
        <w:t xml:space="preserve">Most predation studies have focused on reservoirs</w:t>
      </w:r>
      <w:r>
        <w:t xml:space="preserve"> </w:t>
      </w:r>
      <w:r>
        <w:t xml:space="preserve">(Murphy et al. 2021)</w:t>
      </w:r>
      <w:r>
        <w:t xml:space="preserve"> </w:t>
      </w:r>
      <w:r>
        <w:t xml:space="preserve">and mainstem reaches</w:t>
      </w:r>
      <w:r>
        <w:t xml:space="preserve"> </w:t>
      </w:r>
      <w:r>
        <w:t xml:space="preserve">(Tabor et al. 1993; Ward et al. 1995; Shively et al. 1996; Zimmerman and Ward 1999)</w:t>
      </w:r>
      <w:r>
        <w:t xml:space="preserve"> </w:t>
      </w:r>
      <w:r>
        <w:t xml:space="preserve">of the Columbia River basin whereas very little is known about the interaction between upstream, river-dwelling piscivorous fishes and their impacts on salmonid recovery above the reservoir systems</w:t>
      </w:r>
      <w:r>
        <w:t xml:space="preserve"> </w:t>
      </w:r>
      <w:r>
        <w:t xml:space="preserve">(Rubenson et al. 2020)</w:t>
      </w:r>
      <w:r>
        <w:t xml:space="preserve">. Upstream habitats containing slower water velocities and other attributes that support piscivorous predators may overlap with essential habitat for some salmonid species and life stages. One such example is Deadwater Slough, an approximately 1.5 kilometer long reach of unnaturally slow and deep water in the Salmon River, Idaho. The Deadwater Slough is located in a river reach containing historically important overwinter rearing and spring emigration habitat for juvenile Chinook Salmon</w:t>
      </w:r>
      <w:r>
        <w:t xml:space="preserve"> </w:t>
      </w:r>
      <w:r>
        <w:rPr>
          <w:iCs/>
          <w:i/>
        </w:rPr>
        <w:t xml:space="preserve">O. tshawytscha</w:t>
      </w:r>
      <w:r>
        <w:t xml:space="preserve"> </w:t>
      </w:r>
      <w:r>
        <w:t xml:space="preserve">and is inhabited by piscivorous predators, including Northern Pikeminnow and Smallmouth Bass</w:t>
      </w:r>
      <w:r>
        <w:t xml:space="preserve"> </w:t>
      </w:r>
      <w:r>
        <w:rPr>
          <w:iCs/>
          <w:i/>
        </w:rPr>
        <w:t xml:space="preserve">Micropterus dolomieu</w:t>
      </w:r>
      <w:r>
        <w:t xml:space="preserve">. Further, the slough is part of the migratory pathway of the endangered Snake River Sockeye Salmon</w:t>
      </w:r>
      <w:r>
        <w:t xml:space="preserve"> </w:t>
      </w:r>
      <w:r>
        <w:rPr>
          <w:iCs/>
          <w:i/>
        </w:rPr>
        <w:t xml:space="preserve">O. nerka</w:t>
      </w:r>
      <w:r>
        <w:t xml:space="preserve"> </w:t>
      </w:r>
      <w:r>
        <w:t xml:space="preserve">population</w:t>
      </w:r>
      <w:r>
        <w:t xml:space="preserve"> </w:t>
      </w:r>
      <w:r>
        <w:t xml:space="preserve">(Axel et al. 2015)</w:t>
      </w:r>
      <w:r>
        <w:t xml:space="preserve"> </w:t>
      </w:r>
      <w:r>
        <w:t xml:space="preserve">and several populations of threatened Snake River steelhead.</w:t>
      </w:r>
    </w:p>
    <w:p>
      <w:pPr>
        <w:pStyle w:val="BodyText"/>
      </w:pPr>
      <w:r>
        <w:t xml:space="preserve">Quantifying mortality associated with piscine predation in upstream habitats of the Salmon River is of particular interest for spring/summer Chinook Salmon in the Upper Salmon major population group (MPG). The Salmon River was historically the most productive tributary for spring/summer Chinook Salmon in the Columbia River basin</w:t>
      </w:r>
      <w:r>
        <w:t xml:space="preserve"> </w:t>
      </w:r>
      <w:r>
        <w:t xml:space="preserve">(Nemeth and Kiefer 1999)</w:t>
      </w:r>
      <w:r>
        <w:t xml:space="preserve">, but those populations have become depleted in recent decades. Currently, the Upper salmon MPG supports eight independent, extant spring/summer Chinook Salmon populations, including Salmon River (above Redfish Lake Creek), Valley Creek, Yankee Fork Salmon River, East Fork Salmon River, Salmon River (mainstem below Redfish Lake Creek), Pahsimeroi River, Lemhi River, and North Fork Salmon River (</w:t>
      </w:r>
      <w:r>
        <w:t xml:space="preserve">National Oceanic and Atmospheric Administration (2017)</w:t>
      </w:r>
      <w:r>
        <w:t xml:space="preserve">). The Upper Salmon MPG are stream-type Chinook Salmon and exhibit two distinct migration tactics; downstream rearing (DSR) and natal reach rearing (NRR)</w:t>
      </w:r>
      <w:r>
        <w:t xml:space="preserve"> </w:t>
      </w:r>
      <w:r>
        <w:t xml:space="preserve">(Copeland et al. 2014)</w:t>
      </w:r>
      <w:r>
        <w:t xml:space="preserve">. Diversity of migration tactics provides a mechanism for coping with adverse conditions in freshwater rearing and migration environments and buffers against catastrophic events, thereby increasing population resiliency. Because the Deadwater Slough supports rearing for DSR migrants and is part of the migration corridor for NRR migrants, and juveniles from all Upper Salmon populations must rear in or migrate through it, it represents a significant habitat for the Upper Salmon MPG.</w:t>
      </w:r>
    </w:p>
    <w:p>
      <w:pPr>
        <w:pStyle w:val="BodyText"/>
      </w:pPr>
      <w:r>
        <w:t xml:space="preserve">Several studies have attempted to examine the downstream movement, distribution, and (apparent) survival of juvenile salmonid emigrants through the Salmon River, including the Deadwater Slough reach. Sockeye Salmon migrating through the mainstem Salmon River during spring were estimated to have substantially reduced survival in the Deadwater Slough reach compared to adjacent reaches</w:t>
      </w:r>
      <w:r>
        <w:t xml:space="preserve"> </w:t>
      </w:r>
      <w:r>
        <w:t xml:space="preserve">(Axel et al. 2015)</w:t>
      </w:r>
      <w:r>
        <w:t xml:space="preserve">. Similarly, emigrating DSR Chinook Salmon had a 10% reduction in transition probability through the Deadwater Slough compared to surrounding reaches during the fall and early winter months</w:t>
      </w:r>
      <w:r>
        <w:t xml:space="preserve"> </w:t>
      </w:r>
      <w:r>
        <w:t xml:space="preserve">(Ackerman et al. 2018; Porter et al. 2019)</w:t>
      </w:r>
      <w:r>
        <w:t xml:space="preserve">. Low survival in these cases was attributed to low-velocity water delaying movement rates, thereby increasing predation risk.</w:t>
      </w:r>
    </w:p>
    <w:p>
      <w:pPr>
        <w:pStyle w:val="BodyText"/>
      </w:pPr>
      <w:r>
        <w:t xml:space="preserve">In this study, we estimated the abundance of Northern Pikeminnow in the Deadwater Slough and its potential impacts to juvenile salmon emigrants, focusing on DSR and NRR Chinook Salmon. We hypothesize that increase densities of piscivorous predators in the Deadwater Slough may explain the reduced survival (or apparent survival) observed for juvenile Chinook Salmon and Sockeye Salmon. To test this, our objectives were three-fold: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emigration periods using gastric lavage.</w:t>
      </w:r>
    </w:p>
    <w:p>
      <w:pPr>
        <w:numPr>
          <w:ilvl w:val="0"/>
          <w:numId w:val="1001"/>
        </w:numPr>
        <w:pStyle w:val="Compact"/>
      </w:pPr>
      <w:r>
        <w:t xml:space="preserve">Use a bioenergetics approach to estimate consumption potential (grams) of the Northern Pikeminnow population at Deadwater Slough to assess their potential impacts to DSR and NRR Chinook Salmon emigrants.</w:t>
      </w:r>
    </w:p>
    <w:bookmarkEnd w:id="21"/>
    <w:bookmarkStart w:id="26" w:name="methods"/>
    <w:p>
      <w:pPr>
        <w:pStyle w:val="Heading1"/>
      </w:pPr>
      <w:r>
        <w:t xml:space="preserve">Methods</w:t>
      </w:r>
    </w:p>
    <w:bookmarkStart w:id="22" w:name="study-site"/>
    <w:p>
      <w:pPr>
        <w:pStyle w:val="Heading2"/>
      </w:pPr>
      <w:r>
        <w:t xml:space="preserve">Study Site</w:t>
      </w:r>
    </w:p>
    <w:p>
      <w:pPr>
        <w:pStyle w:val="FirstParagraph"/>
      </w:pPr>
      <w:r>
        <w:t xml:space="preserve">The Deadwater Slough is an approximately 1.5-kilometer section of the mainstem Salmon River located roughly 5.8 river kilometers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w:t>
      </w:r>
      <w:r>
        <w:t xml:space="preserve"> </w:t>
      </w:r>
      <w:r>
        <w:t xml:space="preserve">(Emerson 1973)</w:t>
      </w:r>
      <w:r>
        <w:t xml:space="preserve">, thereby creating a slow, deep section in the river, spanning approximately 30 acres, and averaging 68 m width.</w:t>
      </w:r>
    </w:p>
    <w:bookmarkEnd w:id="22"/>
    <w:bookmarkStart w:id="23" w:name="northern-pikeminnow-abundance"/>
    <w:p>
      <w:pPr>
        <w:pStyle w:val="Heading2"/>
      </w:pPr>
      <w:r>
        <w:t xml:space="preserve">Northern Pikeminnow Abundance</w:t>
      </w:r>
    </w:p>
    <w:p>
      <w:pPr>
        <w:pStyle w:val="FirstParagraph"/>
      </w:pPr>
      <w:r>
        <w:t xml:space="preserve">We estimated the population size of piscine predators in the Deadwater Slough using a mark-recapture survey and a catch per unit effort (CPUE) approach. Predators were sampled near the peaks of the juvenile DSR and NRR emigrations. Our intent was to sampling during the emigration of the 2018 brood year (fall 2019 and spring 2020). However, due to logistical concerns during the onset of the Covid-19 pandemic, the spring 2020 effort was delayed until fall 2020. Although this provided the benefit of an additional abundance estimate during the DSR emigration, estimates during the NRR emigration were still lacking, and so an additional effort was added in spring 2021. Fall efforts included sampling across a two-week span; however, due to budget constraints the spring 2021 effort was conducted over a single week. Sampling was constrained within a two-week window to minimize predator emigration/immigration and to constrain the population for the mark-recapture models.</w:t>
      </w:r>
    </w:p>
    <w:p>
      <w:pPr>
        <w:pStyle w:val="BodyText"/>
      </w:pPr>
      <w:r>
        <w:t xml:space="preserve">Multiple capture methods were employed during the fall 2019 effort to reduce selectivity and bias for species and size classes. Methods included raft electrofishing, fyke netting, snorkeling, and angling. However, ineffective methods were abandoned in subsequent years. After evaluating all methods, angling proved to be the most effective method for capturing piscine predators while minimizing potential impacts to ESA-listed steelhead, but recognizing that angling can have both species and size selectivity (bias). From here on, we focus on fish captured by angling, unless otherwise noted. Additionally, it quickly became clear during fall 2019 that Northern Pikeminnow were by far the most prevalent piscine predator in Deadwater Slough and so is the focus of our study.</w:t>
      </w:r>
    </w:p>
    <w:p>
      <w:pPr>
        <w:pStyle w:val="BodyText"/>
      </w:pPr>
      <w:r>
        <w:t xml:space="preserve">Our study relied heavily on volunteer anglers who were permitted to fish anywhere within Deadwater Slough. During a sampling occassion (day), anglers would boat or hike their catch (periodically or upon filling a livewell) to a processing station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released. Fish that died prior to release were still counted as captured (or recaptured), but not included in the number of marked fish available for recapture after that date. Released individuals were distributed throughout Deadwater Slough to facilitate mixing back into the population. Finally, we recorded the angling start and end time for each crew (person or combinations of persons) to facilitate calculations of CPUE.</w:t>
      </w:r>
    </w:p>
    <w:p>
      <w:pPr>
        <w:pStyle w:val="BodyText"/>
      </w:pPr>
      <w:r>
        <w:t xml:space="preserve">Mark-recapture abundance estimators fell into two broad categories: single-census and multiple-census. For the single-census estimators, we used the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where</w:t>
      </w:r>
      <w:r>
        <w:t xml:space="preserve"> </w:t>
      </w:r>
      <m:oMath>
        <m:r>
          <m:t>M</m:t>
        </m:r>
      </m:oMath>
      <w:r>
        <w:t xml:space="preserve"> </w:t>
      </w:r>
      <w:r>
        <w:t xml:space="preserve">is the number is the total number of fish marked and returned to the population during the first week of sampling (mark event),</w:t>
      </w:r>
      <w:r>
        <w:t xml:space="preserve"> </w:t>
      </w:r>
      <m:oMath>
        <m:r>
          <m:t>n</m:t>
        </m:r>
      </m:oMath>
      <w:r>
        <w:t xml:space="preserve"> </w:t>
      </w:r>
      <w:r>
        <w:t xml:space="preserve">is the total number of fish caught in the second week (recapture event), and</w:t>
      </w:r>
      <w:r>
        <w:t xml:space="preserve"> </w:t>
      </w:r>
      <m:oMath>
        <m:r>
          <m:t>m</m:t>
        </m:r>
      </m:oMath>
      <w:r>
        <w:t xml:space="preserve"> </w:t>
      </w:r>
      <w:r>
        <w:t xml:space="preserve">is the number of marked fish caught during the recapture event.</w:t>
      </w:r>
    </w:p>
    <w:p>
      <w:pPr>
        <w:pStyle w:val="BodyText"/>
      </w:pPr>
      <w:r>
        <w:t xml:space="preserve">Because the Lincoln-Peterson estimator can be biased with small samples, we also employed the Chapman-modified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For a multiple-census estimator, we first utilized the Schnabel estimator:</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where</w:t>
      </w:r>
      <w:r>
        <w:t xml:space="preserve"> </w:t>
      </w:r>
      <m:oMath>
        <m:r>
          <m:t>M</m:t>
        </m:r>
      </m:oMath>
      <w:r>
        <w:t xml:space="preserve">,</w:t>
      </w:r>
      <w:r>
        <w:t xml:space="preserve"> </w:t>
      </w:r>
      <m:oMath>
        <m:r>
          <m:t>n</m:t>
        </m:r>
      </m:oMath>
      <w:r>
        <w:t xml:space="preserve">, and</w:t>
      </w:r>
      <w:r>
        <w:t xml:space="preserve"> </w:t>
      </w:r>
      <m:oMath>
        <m:r>
          <m:t>m</m:t>
        </m:r>
      </m:oMath>
      <w:r>
        <w:t xml:space="preserve"> </w:t>
      </w:r>
      <w:r>
        <w:t xml:space="preserve">are indexed by the sampling occassion,</w:t>
      </w:r>
      <w:r>
        <w:t xml:space="preserve"> </w:t>
      </w:r>
      <m:oMath>
        <m:r>
          <m:t>i</m:t>
        </m:r>
      </m:oMath>
      <w:r>
        <w:t xml:space="preserve">. Here,</w:t>
      </w:r>
      <w:r>
        <w:t xml:space="preserve"> </w:t>
      </w:r>
      <m:oMath>
        <m:r>
          <m:t>i</m:t>
        </m:r>
      </m:oMath>
      <w:r>
        <w:t xml:space="preserve"> </w:t>
      </w:r>
      <w:r>
        <w:t xml:space="preserve">is defined as each sampling day. The Schnabel estimator does not have an associated standard error; however, the 90% confidence intervals were calculated.</w:t>
      </w:r>
    </w:p>
    <w:p>
      <w:pPr>
        <w:pStyle w:val="BodyText"/>
      </w:pPr>
      <w:r>
        <w:t xml:space="preserve">Finally, we explored one additional multiple-census estimator, the Schumacher-Eschmeyer estimator, which is based on minimizing the weighted sum of squares between the proportion of marked individuals in the sample and the unknown proportion of marked individuals in the population. The Schumacher-Eschmeyer estimator is as follows:</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The mark-recapture estimators allowed us to estimate the abundance of Northern Pikeminnow during the fall 2019 and fall 2020 sampling periods. However, due to logistical constraints, we were only able to sample during a single week in spring 20201 and released fish were left unmarked. Instead, to estimate the abundance of Northern Pikeminnow during spring 2021, we used the ratio of total CPUE in the fall sampling events to the total CPUE in the spring sampling event, and multiplied that ratio by the average abundance of Northern Pikeminnow from the fall sampling events.</w:t>
      </w:r>
      <w:r>
        <w:t xml:space="preserve"> </w:t>
      </w:r>
      <w:r>
        <w:t xml:space="preserve">This approach assumes equal capture probabilities between the fall and spring capture events. If that assumption is not true and capture probability did differ, we believe that the capture probability in the spring would be lower due to higher flows, which would lead to our spring abundance estimate to be biased low. Therefore, we presume our abundance estimate of Northern Pikeminnow for the spring 2021 sampling event to be a conservative estimate.</w:t>
      </w:r>
    </w:p>
    <w:p>
      <w:pPr>
        <w:pStyle w:val="BodyText"/>
      </w:pPr>
      <w:r>
        <w:t xml:space="preserve">All mark-recapture abundance estimators assumed: (1) the population is closed (no immigration, emigration, births or deaths during the sampling period), (2) marking a fish does not affect its chances of recapture, (3) no loss of marks, (4) marks are not missed or mistaken, and (5) all fish have equal chance of being caught in the second (and subsequent) sample(s).</w:t>
      </w:r>
    </w:p>
    <w:bookmarkEnd w:id="23"/>
    <w:bookmarkStart w:id="24" w:name="gastric-lavage"/>
    <w:p>
      <w:pPr>
        <w:pStyle w:val="Heading2"/>
      </w:pPr>
      <w:r>
        <w:t xml:space="preserve">Gastric Lavage</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(e.g., juvenile steelhead, juvenile Sockeye Salmon, Redside Shiner</w:t>
      </w:r>
      <w:r>
        <w:t xml:space="preserve"> </w:t>
      </w:r>
      <w:r>
        <w:rPr>
          <w:iCs/>
          <w:i/>
        </w:rPr>
        <w:t xml:space="preserve">Richardsonius balteatus</w:t>
      </w:r>
      <w:r>
        <w:t xml:space="preserve">, etc.). Immediately following lavage, stomach contents of individuals were preserved with 99% isopropyl alcohol in whirl-paks for later analysis in a controlled environment. For each sample, wet weight (grams) was recorded for the total combined stomach content, including all non-fish items (e.g., macroinvertebrates, organic matter), as well as the portion consisting of fish parts/matter. Fish and fish remnants were identified to the lowest taxonomic unit using diagnostic bones, or were categorized as unknown</w:t>
      </w:r>
      <w:r>
        <w:t xml:space="preserve"> </w:t>
      </w:r>
      <w:r>
        <w:t xml:space="preserve">(Hansel et al. 1988; Frost 2000)</w:t>
      </w:r>
      <w:r>
        <w:t xml:space="preserve">. A subset of Northern Pikeminnow captures (~ 5%) were euthanized for dissection after gastric lavage to validate the efficacy of the methodology.</w:t>
      </w:r>
    </w:p>
    <w:bookmarkEnd w:id="24"/>
    <w:bookmarkStart w:id="25" w:name="bioenergetics"/>
    <w:p>
      <w:pPr>
        <w:pStyle w:val="Heading2"/>
      </w:pPr>
      <w:r>
        <w:t xml:space="preserve">Bioenergetics</w:t>
      </w:r>
    </w:p>
    <w:p>
      <w:pPr>
        <w:pStyle w:val="FirstParagraph"/>
      </w:pPr>
      <w:r>
        <w:t xml:space="preserve">To estimate the total consumption potential (i.e., number/amount of juvenile consumed during the peaks of DSR [fall] and NRR [spring] emigrations) of Northern Pikeminnow in Deadwater Slough, we used the Fish Bioenergetics v4.0 application developed by</w:t>
      </w:r>
      <w:r>
        <w:t xml:space="preserve"> </w:t>
      </w:r>
      <w:r>
        <w:t xml:space="preserve">Deslauriers et al. (2017)</w:t>
      </w:r>
      <w:r>
        <w:t xml:space="preserve"> </w:t>
      </w:r>
      <w:r>
        <w:t xml:space="preserve">applied in the R statistical software</w:t>
      </w:r>
      <w:r>
        <w:t xml:space="preserve"> </w:t>
      </w:r>
      <w:r>
        <w:t xml:space="preserve">(R Core Team 2021)</w:t>
      </w:r>
      <w:r>
        <w:t xml:space="preserve">. The daily rate of consumption in grams for an individual Northern Pikeminnow was estimated based on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 based on an estimate from</w:t>
      </w:r>
      <w:r>
        <w:t xml:space="preserve"> </w:t>
      </w:r>
      <w:r>
        <w:t xml:space="preserve">Moss et al. (2016)</w:t>
      </w:r>
      <w:r>
        <w:t xml:space="preserve"> </w:t>
      </w:r>
      <w:r>
        <w:t xml:space="preserve">and 3,000 J/g for invertebrates. Additional settings included 0% assumed indigestible prety, and a variation in the proportion of diet that was invertebrates or fish ranging from 10% to 90% for both categories. We used a weight-length formula</w:t>
      </w:r>
      <w:r>
        <w:t xml:space="preserve"> </w:t>
      </w:r>
      <w:r>
        <w:t xml:space="preserve">(Parker et al. 1995)</w:t>
      </w:r>
      <w:r>
        <w:t xml:space="preserve"> </w:t>
      </w:r>
      <w:r>
        <w:t xml:space="preserve">to calculate the average predator start weight from the average length of Northern Pikeminnow captured during our study using the FSA package in R</w:t>
      </w:r>
      <w:r>
        <w:t xml:space="preserve"> </w:t>
      </w:r>
      <w:r>
        <w:t xml:space="preserve">(Ogle et al. 2021)</w:t>
      </w:r>
      <w:r>
        <w:t xml:space="preserve">. The average length of Northern Pikeminnow captured at the Deadwater Slough during the spring and fall were 352.9 and 393.7 mm, respectively, which calculates to average starting weights of 504.4 and 670.5 g. Continuous water temperature data from 2019 was used in two alternative models, one using the baseline start and end weights and the second with a 10% increase in average end weight on Northern Pikeminnow.</w:t>
      </w:r>
    </w:p>
    <w:p>
      <w:pPr>
        <w:pStyle w:val="BodyText"/>
      </w:pPr>
      <w:r>
        <w:t xml:space="preserve">We ran three separate bioenergetic models for this study. For the first model, we used temperature data from a 78-day period spanning September 1 through November 17 when DSR emigrants are known to enter the mainstem Salmon River from natal tributaries (e.g., Lemhi River) and begin their downstream migration.</w:t>
      </w:r>
      <w:r>
        <w:t xml:space="preserve"> </w:t>
      </w:r>
      <w:r>
        <w:t xml:space="preserve">During this time, water temperatures typically exceed the range (0-7</w:t>
      </w:r>
      <m:oMath>
        <m:sSup>
          <m:e>
            <m:r>
              <m:t>​</m:t>
            </m:r>
          </m:e>
          <m:sup>
            <m:r>
              <m:rPr>
                <m:sty m:val="p"/>
              </m:rPr>
              <m:t>∘</m:t>
            </m:r>
          </m:sup>
        </m:sSup>
      </m:oMath>
      <w:r>
        <w:t xml:space="preserve">C) that would illicit concealment behavior or torpor from juvenile Chinook Salmon</w:t>
      </w:r>
      <w:r>
        <w:t xml:space="preserve">. This first model assumed no growth for Northern Pikeminnow. The second model was instead run for one full year, but also assumed no growth for Northern Pikeminnow. The assumption of zero growth was included to estimate consumption if individual Northern Pikeminnow were not growing and/or the population is stable. Finally, the third model shows how an increase of 10% body weight or an increase in population size changes the estimates of consumption over a full year period.</w:t>
      </w:r>
    </w:p>
    <w:p>
      <w:pPr>
        <w:pStyle w:val="BodyText"/>
      </w:pPr>
      <w:r>
        <w:t xml:space="preserve">To estimate the total biomass consumed, we then multiplied the biomass consumed by an individual Northern Pikeminnow for the given time period by the estimated population size for that time period. The total biomass was further converted to an estimate of the total number of Chinook Salmon consumed by dividing by a weight of 12 g per individual. This weight was an average from juvenile Chinook Salmon captured at six rotary screw traps throughout the operation season March to November in the Upper Salmon above Deadwater Slough including traps in the Lemhi, Pahsimeroi, and North Fork Salmon rivers and one trap operating near the Sawtooth hatchery.</w:t>
      </w:r>
    </w:p>
    <w:bookmarkEnd w:id="25"/>
    <w:bookmarkEnd w:id="26"/>
    <w:bookmarkStart w:id="30" w:name="results"/>
    <w:p>
      <w:pPr>
        <w:pStyle w:val="Heading1"/>
      </w:pPr>
      <w:r>
        <w:t xml:space="preserve">Results</w:t>
      </w:r>
    </w:p>
    <w:bookmarkStart w:id="27" w:name="northern-pikeminnow-abundance-1"/>
    <w:p>
      <w:pPr>
        <w:pStyle w:val="Heading2"/>
      </w:pPr>
      <w:r>
        <w:t xml:space="preserve">Northern Pikeminnow Abundance</w:t>
      </w:r>
    </w:p>
    <w:p>
      <w:pPr>
        <w:pStyle w:val="FirstParagraph"/>
      </w:pPr>
      <w:r>
        <w:t xml:space="preserve">We caught 664, 803, and 202 Northern Pikeminnow during Fall 2019, Fall 2020, and Spring 2021, respectively. The catch per unit effort, measured as the number of Northern Pikeminnow captured per angler hour, for each was 1.84 for Fall 2019, 1.24 for Fall 2020, and 0.81 for Spring 2021 (Figure</w:t>
      </w:r>
      <w:r>
        <w:t xml:space="preserve"> </w:t>
      </w:r>
      <w:r>
        <w:t xml:space="preserve">2</w:t>
      </w:r>
      <w:r>
        <w:t xml:space="preserve">). During Fall 2019, we had a total of 8 recaptures which included 7 unique individuals (i.e., 1 individual was captured more than once). There were 6 recaptures in Fall 2020 which included 5 unique individuals. Summaries of parameters for both the single-census and multiple-census mark-recapture estimators are provided in Table</w:t>
      </w:r>
      <w:r>
        <w:t xml:space="preserve"> </w:t>
      </w:r>
      <w:r>
        <w:t xml:space="preserve">1</w:t>
      </w:r>
      <w:r>
        <w:t xml:space="preserve"> </w:t>
      </w:r>
      <w:r>
        <w:t xml:space="preserve">and Table</w:t>
      </w:r>
      <w:r>
        <w:t xml:space="preserve"> </w:t>
      </w:r>
      <w:r>
        <w:t xml:space="preserve">2</w:t>
      </w:r>
      <w:r>
        <w:t xml:space="preserve">, respectively.</w:t>
      </w:r>
    </w:p>
    <w:p>
      <w:pPr>
        <w:pStyle w:val="BodyText"/>
      </w:pPr>
      <w:r>
        <w:t xml:space="preserve">Abundance estimates for Northern Pikeminnow in the Deadwater Slough during Fall 2019 ranged from 13,298 to 20,615 and for Fall 2020 ranged from 24,882 to 43,279. In both cases, the multiple census estimators were consistently larger than the single census estimators, although the size of the 95% confidence intervals were more varied (Figure</w:t>
      </w:r>
      <w:r>
        <w:t xml:space="preserve"> </w:t>
      </w:r>
      <w:r>
        <w:t xml:space="preserve">3</w:t>
      </w:r>
      <w:r>
        <w:t xml:space="preserve">). Table</w:t>
      </w:r>
      <w:r>
        <w:t xml:space="preserve"> </w:t>
      </w:r>
      <w:r>
        <w:t xml:space="preserve">3</w:t>
      </w:r>
      <w:r>
        <w:t xml:space="preserve"> </w:t>
      </w:r>
      <w:r>
        <w:t xml:space="preserve">provides point estimates and confidence intervals for each estimator for the fall mark-recapture sampling events.</w:t>
      </w:r>
    </w:p>
    <w:p>
      <w:pPr>
        <w:pStyle w:val="BodyText"/>
      </w:pPr>
      <w:r>
        <w:rPr>
          <w:iCs/>
          <w:i/>
          <w:bCs/>
          <w:b/>
        </w:rPr>
        <w:t xml:space="preserve">Finish spring abundance results.</w:t>
      </w:r>
      <w:r>
        <w:t xml:space="preserve"> </w:t>
      </w:r>
    </w:p>
    <w:p>
      <w:pPr>
        <w:pStyle w:val="BodyText"/>
      </w:pPr>
      <w:r>
        <w:t xml:space="preserve">The PSD for Northern Pikeminnow in our study and across all three years was 50%. In other words, 50% of captured fish were over the quality size classification of 380 mm TL, demonstrating that a high percentage of Northern Pikeminnow within Deadwater Slough are above average size classes defined for the species</w:t>
      </w:r>
    </w:p>
    <w:bookmarkEnd w:id="27"/>
    <w:bookmarkStart w:id="28" w:name="gastric-lavage-1"/>
    <w:p>
      <w:pPr>
        <w:pStyle w:val="Heading2"/>
      </w:pPr>
      <w:r>
        <w:t xml:space="preserve">Gastric Lavage</w:t>
      </w:r>
    </w:p>
    <w:p>
      <w:pPr>
        <w:pStyle w:val="FirstParagraph"/>
      </w:pPr>
      <w:r>
        <w:t xml:space="preserve">We examined the stomach contents of 1,564 Northern Pikeminnow over the course of the study using gastric lavage methods. Of those, we documented some form of stomach contents in 350 of fish of which we were able to confirm fish or fish remnants in 44. Expressed as a percentage, 22.4% of lavaged Northern Pikeminnow had stomach contents of which 12.6% we identified containing fish or fish remnants. Table</w:t>
      </w:r>
      <w:r>
        <w:t xml:space="preserve"> </w:t>
      </w:r>
      <w:r>
        <w:t xml:space="preserve">4</w:t>
      </w:r>
      <w:r>
        <w:t xml:space="preserve"> </w:t>
      </w:r>
      <w:r>
        <w:t xml:space="preserve">provides a further breakdown of gastric lavage results for each sampling event.</w:t>
      </w:r>
    </w:p>
    <w:p>
      <w:pPr>
        <w:pStyle w:val="BodyText"/>
      </w:pPr>
      <w:r>
        <w:t xml:space="preserve">For Northern Pikeminnow with some form of stomach contents, the average wet weight of total contents was 0.98 g (median = 0.25 g; range = 0.01-17.4 g). Overall, fish or fish remnants were 11.7% of the overall weighted weight among all stomach contents examined.</w:t>
      </w:r>
    </w:p>
    <w:bookmarkEnd w:id="28"/>
    <w:bookmarkStart w:id="29" w:name="bioenergetics-1"/>
    <w:p>
      <w:pPr>
        <w:pStyle w:val="Heading2"/>
      </w:pPr>
      <w:r>
        <w:t xml:space="preserve">Bioenergetics</w:t>
      </w:r>
    </w:p>
    <w:p>
      <w:pPr>
        <w:pStyle w:val="FirstParagraph"/>
      </w:pPr>
      <w:r>
        <w:t xml:space="preserve">We estimated a single average-sized Northern Pikeminnow to consume 61 g of</w:t>
      </w:r>
      <w:r>
        <w:t xml:space="preserve"> </w:t>
      </w:r>
      <w:r>
        <w:rPr>
          <w:iCs/>
          <w:i/>
          <w:bCs/>
          <w:b/>
        </w:rPr>
        <w:t xml:space="preserve">fish</w:t>
      </w:r>
      <w:r>
        <w:t xml:space="preserve"> </w:t>
      </w:r>
      <w:r>
        <w:t xml:space="preserve">during the modeled fall time period (September 1 - November 17). Given an estimated population size of</w:t>
      </w:r>
      <w:r>
        <w:t xml:space="preserve"> </w:t>
      </w:r>
      <w:r>
        <w:rPr>
          <w:iCs/>
          <w:i/>
          <w:bCs/>
          <w:b/>
        </w:rPr>
        <w:t xml:space="preserve">xx,xxx</w:t>
      </w:r>
      <w:r>
        <w:t xml:space="preserve">, we’d estimate that</w:t>
      </w:r>
      <w:r>
        <w:t xml:space="preserve"> </w:t>
      </w:r>
      <w:r>
        <w:rPr>
          <w:iCs/>
          <w:i/>
          <w:bCs/>
          <w:b/>
        </w:rPr>
        <w:t xml:space="preserve">xxx,xxx</w:t>
      </w:r>
      <w:r>
        <w:t xml:space="preserve"> </w:t>
      </w:r>
      <w:r>
        <w:t xml:space="preserve">g of fish are consumed each fall during the emigration of juvenile DSR Chinook Salmon. The average weight of a DSR Chinook Salmon is</w:t>
      </w:r>
      <w:r>
        <w:t xml:space="preserve"> </w:t>
      </w:r>
      <w:r>
        <w:rPr>
          <w:iCs/>
          <w:i/>
          <w:bCs/>
          <w:b/>
        </w:rPr>
        <w:t xml:space="preserve">xx.x</w:t>
      </w:r>
      <w:r>
        <w:t xml:space="preserve"> </w:t>
      </w:r>
      <w:r>
        <w:t xml:space="preserve">taken from</w:t>
      </w:r>
      <w:r>
        <w:t xml:space="preserve"> </w:t>
      </w:r>
      <w:r>
        <w:rPr>
          <w:iCs/>
          <w:i/>
          <w:bCs/>
          <w:b/>
        </w:rPr>
        <w:t xml:space="preserve">yyy</w:t>
      </w:r>
      <w:r>
        <w:t xml:space="preserve"> </w:t>
      </w:r>
      <w:r>
        <w:t xml:space="preserve">rotary screw traps</w:t>
      </w:r>
    </w:p>
    <w:p>
      <w:pPr>
        <w:pStyle w:val="BodyText"/>
      </w:pPr>
      <w:r>
        <w:t xml:space="preserve">If we further assume an average weight of</w:t>
      </w:r>
      <w:r>
        <w:t xml:space="preserve"> </w:t>
      </w:r>
      <w:r>
        <w:rPr>
          <w:iCs/>
          <w:i/>
          <w:bCs/>
          <w:b/>
        </w:rPr>
        <w:t xml:space="preserve">xx g</w:t>
      </w:r>
      <w:r>
        <w:t xml:space="preserve"> </w:t>
      </w:r>
      <w:r>
        <w:t xml:space="preserve">for DSR Chinook Salmon</w:t>
      </w:r>
    </w:p>
    <w:p>
      <w:pPr>
        <w:pStyle w:val="BodyText"/>
      </w:pPr>
      <w:r>
        <w:t xml:space="preserve">Over the fall time period a single average-sized Northern Pikeminnow is modeled to eat 61 g of fish. For the estimated population of</w:t>
      </w:r>
      <w:r>
        <w:t xml:space="preserve"> </w:t>
      </w:r>
      <w:r>
        <w:rPr>
          <w:iCs/>
          <w:i/>
          <w:bCs/>
          <w:b/>
        </w:rPr>
        <w:t xml:space="preserve">xx,xxx</w:t>
      </w:r>
      <w:r>
        <w:t xml:space="preserve">, then</w:t>
      </w:r>
      <w:r>
        <w:t xml:space="preserve"> </w:t>
      </w:r>
      <w:r>
        <w:rPr>
          <w:iCs/>
          <w:i/>
          <w:bCs/>
          <w:b/>
        </w:rPr>
        <w:t xml:space="preserve">xxx,xxx</w:t>
      </w:r>
      <w:r>
        <w:t xml:space="preserve"> </w:t>
      </w:r>
      <w:r>
        <w:t xml:space="preserve">g of fish are being eaten each fall during the migration of juvenile Chinook Salmon. Therefore, Northern Pikeminnow in the Deadwater Slough can potentially consume</w:t>
      </w:r>
      <w:r>
        <w:t xml:space="preserve"> </w:t>
      </w:r>
      <w:r>
        <w:rPr>
          <w:iCs/>
          <w:i/>
          <w:bCs/>
          <w:b/>
        </w:rPr>
        <w:t xml:space="preserve">xx,xxx</w:t>
      </w:r>
      <w:r>
        <w:t xml:space="preserve"> </w:t>
      </w:r>
      <w:r>
        <w:t xml:space="preserve">juvenile Chinook Salmon as a discrete population.</w:t>
      </w:r>
    </w:p>
    <w:p>
      <w:pPr>
        <w:pStyle w:val="BodyText"/>
      </w:pPr>
      <w:r>
        <w:t xml:space="preserve">Over an entire year, we estimate that a single Northern Pikeminnow will eat 283 g of fish and 613 g of other food types.</w:t>
      </w:r>
    </w:p>
    <w:bookmarkEnd w:id="29"/>
    <w:bookmarkEnd w:id="30"/>
    <w:bookmarkStart w:id="40" w:name="discussion"/>
    <w:p>
      <w:pPr>
        <w:pStyle w:val="Heading1"/>
      </w:pPr>
      <w:r>
        <w:t xml:space="preserve">Discussion</w:t>
      </w:r>
    </w:p>
    <w:p>
      <w:pPr>
        <w:pStyle w:val="FirstParagraph"/>
      </w:pPr>
      <w:r>
        <w:t xml:space="preserve">We estimated the population size of Northern Pikeminnow in the Deadwater Slough to be greater than</w:t>
      </w:r>
      <w:r>
        <w:t xml:space="preserve"> </w:t>
      </w:r>
      <w:r>
        <w:rPr>
          <w:iCs/>
          <w:i/>
          <w:bCs/>
          <w:b/>
        </w:rPr>
        <w:t xml:space="preserve">xx,xxx</w:t>
      </w:r>
      <w:r>
        <w:t xml:space="preserve"> </w:t>
      </w:r>
      <w:r>
        <w:t xml:space="preserve">during the fall emigration period for DSR Chinook Salmon. That estimate translates to a density of</w:t>
      </w:r>
      <w:r>
        <w:t xml:space="preserve"> </w:t>
      </w:r>
      <w:r>
        <w:rPr>
          <w:iCs/>
          <w:i/>
          <w:bCs/>
          <w:b/>
        </w:rPr>
        <w:t xml:space="preserve">xxx</w:t>
      </w:r>
      <w:r>
        <w:t xml:space="preserve"> </w:t>
      </w:r>
      <w:r>
        <w:t xml:space="preserve">Northern Pikeminnow per 100 m or</w:t>
      </w:r>
      <w:r>
        <w:t xml:space="preserve"> </w:t>
      </w:r>
      <w:r>
        <w:rPr>
          <w:iCs/>
          <w:i/>
          <w:bCs/>
          <w:b/>
        </w:rPr>
        <w:t xml:space="preserve">xxx</w:t>
      </w:r>
      <w:r>
        <w:t xml:space="preserve"> </w:t>
      </w:r>
      <w:r>
        <w:t xml:space="preserve">per 100 m</w:t>
      </w:r>
      <w:r>
        <w:rPr>
          <w:vertAlign w:val="superscript"/>
        </w:rPr>
        <w:t xml:space="preserve">2</w:t>
      </w:r>
      <w:r>
        <w:t xml:space="preserve"> </w:t>
      </w:r>
      <w:r>
        <w:t xml:space="preserve">which is</w:t>
      </w:r>
      <w:r>
        <w:t xml:space="preserve"> </w:t>
      </w:r>
      <w:r>
        <w:rPr>
          <w:iCs/>
          <w:i/>
          <w:bCs/>
          <w:b/>
        </w:rPr>
        <w:t xml:space="preserve">similar/more/less</w:t>
      </w:r>
      <w:r>
        <w:t xml:space="preserve"> </w:t>
      </w:r>
      <w:r>
        <w:t xml:space="preserve">than estimates from elsewhere in the Columbia River</w:t>
      </w:r>
      <w:r>
        <w:t xml:space="preserve"> </w:t>
      </w:r>
      <w:r>
        <w:rPr>
          <w:iCs/>
          <w:i/>
          <w:bCs/>
          <w:b/>
        </w:rPr>
        <w:t xml:space="preserve">(citation)</w:t>
      </w:r>
      <w:r>
        <w:t xml:space="preserve"> </w:t>
      </w:r>
      <w:r>
        <w:t xml:space="preserve">where substantial Northern Pikeminnow predation impacts on salmonids have led to bounty programs aimed at reducing Northern Pikeminnow abundance. The population size of Northern Pikeminnow was not directly estimated during the spring NRR Chinook salmon emigration period; however, the relative abundance measured at CPUE was comparable to the fall sampling periods</w:t>
      </w:r>
      <w:r>
        <w:t xml:space="preserve"> </w:t>
      </w:r>
      <w:r>
        <w:rPr>
          <w:iCs/>
          <w:i/>
          <w:bCs/>
          <w:b/>
        </w:rPr>
        <w:t xml:space="preserve">(update statement later)</w:t>
      </w:r>
      <w:r>
        <w:t xml:space="preserve">. The population of Northern Pikeminnow in Deadwater Slough was estimated to consume between</w:t>
      </w:r>
      <w:r>
        <w:t xml:space="preserve"> </w:t>
      </w:r>
      <w:r>
        <w:rPr>
          <w:iCs/>
          <w:i/>
          <w:bCs/>
          <w:b/>
        </w:rPr>
        <w:t xml:space="preserve">xx,xxx</w:t>
      </w:r>
      <w:r>
        <w:t xml:space="preserve"> </w:t>
      </w:r>
      <w:r>
        <w:t xml:space="preserve">and</w:t>
      </w:r>
      <w:r>
        <w:t xml:space="preserve"> </w:t>
      </w:r>
      <w:r>
        <w:rPr>
          <w:iCs/>
          <w:i/>
          <w:bCs/>
          <w:b/>
        </w:rPr>
        <w:t xml:space="preserve">xx,xxx</w:t>
      </w:r>
      <w:r>
        <w:t xml:space="preserve"> </w:t>
      </w:r>
      <w:r>
        <w:t xml:space="preserve">juvenile Chinook Salmon during the</w:t>
      </w:r>
      <w:r>
        <w:t xml:space="preserve"> </w:t>
      </w:r>
      <w:r>
        <w:rPr>
          <w:iCs/>
          <w:i/>
          <w:bCs/>
          <w:b/>
        </w:rPr>
        <w:t xml:space="preserve">x</w:t>
      </w:r>
      <w:r>
        <w:t xml:space="preserve"> </w:t>
      </w:r>
      <w:r>
        <w:t xml:space="preserve">sampling periods and result in an estimated reduction of returning adults between</w:t>
      </w:r>
      <w:r>
        <w:t xml:space="preserve"> </w:t>
      </w:r>
      <w:r>
        <w:rPr>
          <w:iCs/>
          <w:i/>
          <w:bCs/>
          <w:b/>
        </w:rPr>
        <w:t xml:space="preserve">xxx</w:t>
      </w:r>
      <w:r>
        <w:t xml:space="preserve"> </w:t>
      </w:r>
      <w:r>
        <w:t xml:space="preserve">and</w:t>
      </w:r>
      <w:r>
        <w:t xml:space="preserve"> </w:t>
      </w:r>
      <w:r>
        <w:rPr>
          <w:iCs/>
          <w:i/>
          <w:bCs/>
          <w:b/>
        </w:rPr>
        <w:t xml:space="preserve">x,xxx</w:t>
      </w:r>
      <w:r>
        <w:t xml:space="preserve">. We suggest that the habitat modifications that created the Deadwater Slough have resulted in favorable conditions for Northern Pikeminnow, including improved conditions for predation upon juvenile Chinook Salmon</w:t>
      </w:r>
      <w:r>
        <w:t xml:space="preserve"> </w:t>
      </w:r>
      <w:r>
        <w:rPr>
          <w:iCs/>
          <w:i/>
          <w:bCs/>
          <w:b/>
        </w:rPr>
        <w:t xml:space="preserve">(add detail here)</w:t>
      </w:r>
      <w:r>
        <w:t xml:space="preserve">. Therefore, predation by Northern Pikeminnow in the Deadwater Slough likely has a consequential impact on ESA-listed Chinook Salmon populations in the Upper Salmon River MPG.</w:t>
      </w:r>
    </w:p>
    <w:bookmarkStart w:id="31" w:name="mark-recapture-model"/>
    <w:p>
      <w:pPr>
        <w:pStyle w:val="Heading2"/>
      </w:pPr>
      <w:r>
        <w:t xml:space="preserve">Mark-Recapture Model</w:t>
      </w:r>
    </w:p>
    <w:bookmarkEnd w:id="31"/>
    <w:bookmarkStart w:id="32" w:name="gastric-lavage-2"/>
    <w:p>
      <w:pPr>
        <w:pStyle w:val="Heading2"/>
      </w:pPr>
      <w:r>
        <w:t xml:space="preserve">Gastric Lavage</w:t>
      </w:r>
    </w:p>
    <w:p>
      <w:pPr>
        <w:pStyle w:val="FirstParagraph"/>
      </w:pPr>
      <w:r>
        <w:t xml:space="preserve">The majority of fish collected during this study received gastric lavage, including some non-predatory species. To validate the efficacy of this method, we euthanized nine Northern Pikeminnow after gastric lavage was completed and removed the remaining stomach contents via dissection. Our results support previous findings that gastric lavage effectively removes stomach contents (</w:t>
      </w:r>
      <w:r>
        <w:t xml:space="preserve">Lott et al. (2020)</w:t>
      </w:r>
      <w:r>
        <w:t xml:space="preserve">). Additionally, we found that the fish captured in net-traps had a similar proportion of stomach content samples. Of those, 1,214 (76.2%) were completely empty, 345 (21.6%) had stomach contents, and 35 (2.2%) contained fish remnants. We were successfully able to identify Redside Shiners, a Largescale Sucker, sculpin, Mountain Whitefish, and one juvenile Chinook Salmon in the stomach contents. However, decomposition from digestion rendered most stomach contents unidentifiable.</w:t>
      </w:r>
    </w:p>
    <w:bookmarkEnd w:id="32"/>
    <w:bookmarkStart w:id="33" w:name="bioenergetics-2"/>
    <w:p>
      <w:pPr>
        <w:pStyle w:val="Heading2"/>
      </w:pPr>
      <w:r>
        <w:t xml:space="preserve">Bioenergetics</w:t>
      </w:r>
    </w:p>
    <w:p>
      <w:pPr>
        <w:pStyle w:val="FirstParagraph"/>
      </w:pPr>
      <w:r>
        <w:t xml:space="preserve">What assumptions did we make during the bioenergetics assessment? And how might violations of those assumptions change our estimate of the number of juvenile Chinook salmon consumed and resulting impacts to adult returns?</w:t>
      </w:r>
    </w:p>
    <w:bookmarkEnd w:id="33"/>
    <w:bookmarkStart w:id="34" w:name="impacts-to-adult-returns"/>
    <w:p>
      <w:pPr>
        <w:pStyle w:val="Heading2"/>
      </w:pPr>
      <w:r>
        <w:t xml:space="preserve">Impacts to Adult Returns</w:t>
      </w:r>
    </w:p>
    <w:p>
      <w:pPr>
        <w:pStyle w:val="FirstParagraph"/>
      </w:pPr>
      <w:r>
        <w:t xml:space="preserve">To estimate the number of possible Chinook salmon that could be consumed, we divided the cumulative fish consumption in grams for an individual pikeminnow by the average weight of a Chinook emigrant to come up with a presmolt equivalency and then multiplied this by our abundance estimate of northern pikeminnow in Deadwater Slough, resulting in an estimate of the equivalent total number of Chinook salmon presmolts consumed. Finally, we estimated the number of additional adult Chinook salmon that might be expected to return to Lower Granite Dam if predation in the Deadwater Slough reach was reduced or eliminated. We multiplied the total estimated consumed juvenile Chinook salmon by an estimate of Granite-to-Granite SARs</w:t>
      </w:r>
      <w:r>
        <w:t xml:space="preserve"> </w:t>
      </w:r>
      <w:r>
        <w:t xml:space="preserve">(McCann et al. 2019)</w:t>
      </w:r>
      <w:r>
        <w:t xml:space="preserve">.</w:t>
      </w:r>
    </w:p>
    <w:p>
      <w:pPr>
        <w:pStyle w:val="BodyText"/>
      </w:pPr>
      <w:r>
        <w:t xml:space="preserve">Again, what assumptions did we make here and how might violations of those assumptions change our estimate of impacts to adult returns.</w:t>
      </w:r>
    </w:p>
    <w:p>
      <w:pPr>
        <w:numPr>
          <w:ilvl w:val="0"/>
          <w:numId w:val="1002"/>
        </w:numPr>
        <w:pStyle w:val="Compact"/>
      </w:pPr>
      <w:r>
        <w:t xml:space="preserve">SAR results. Maybe a plot of multiple scenarios depending on gastric lavage results? And pop estimates if they vary in time.</w:t>
      </w:r>
    </w:p>
    <w:bookmarkEnd w:id="34"/>
    <w:bookmarkStart w:id="37"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salmon in the Deadwater Slough. The Deadwater Slough is recognized as an important bird watching and nesting area due to the associated riparian and backwater habitats</w:t>
      </w:r>
      <w:r>
        <w:t xml:space="preserve"> </w:t>
      </w:r>
      <w:hyperlink r:id="rId35">
        <w:r>
          <w:rPr>
            <w:rStyle w:val="Hyperlink"/>
          </w:rPr>
          <w:t xml:space="preserve">(Deadwater Slough - Audubon Important Bird Areas)</w:t>
        </w:r>
      </w:hyperlink>
      <w:r>
        <w:t xml:space="preserve">. Several piscivorous bird species have been documented using the Deadwater Slough that include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event in 2019, a two-person crew walked the entire reach and surrounding and upstream areas scanning for passive integrated transponder (PIT) tags. During that informal survey, nine PIT tags were recovered near active bird nests or in an upstream anastomizing reach where herons and eagles are prevalent, suggesting that mortality may have been a result of avian predation. The PIT tag histories in</w:t>
      </w:r>
      <w:r>
        <w:t xml:space="preserve"> </w:t>
      </w:r>
      <w:hyperlink r:id="rId36">
        <w:r>
          <w:rPr>
            <w:rStyle w:val="Hyperlink"/>
          </w:rPr>
          <w:t xml:space="preserve">PTAGIS</w:t>
        </w:r>
      </w:hyperlink>
      <w:r>
        <w:t xml:space="preserve"> </w:t>
      </w:r>
      <w:r>
        <w:t xml:space="preserve">indicate these tags were implanted into a combination of juvenile Chinook Salmon (3), Sockeye Salmon (3), and steelhead (3). Avian predation contributes a major component of the total mortality for yearling Chinook Salmon in some locations in the lower Snake River and Columbia River, particularly at hydroelectric dams and within reservoirs</w:t>
      </w:r>
      <w:r>
        <w:t xml:space="preserve"> </w:t>
      </w:r>
      <w:r>
        <w:t xml:space="preserve">(Evans et al. 2012; 2016)</w:t>
      </w:r>
      <w:r>
        <w:t xml:space="preserve">; however, we did not observe large colonies of piscivorous birds within the study area. Although there is documentation of individual Double-crested Cormorants</w:t>
      </w:r>
      <w:r>
        <w:t xml:space="preserve"> </w:t>
      </w:r>
      <w:r>
        <w:t xml:space="preserve">(eBird 2021)</w:t>
      </w:r>
      <w:r>
        <w:t xml:space="preserve"> </w:t>
      </w:r>
      <w:r>
        <w:t xml:space="preserve">at the Deadwater Slough,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at the Deadwater Slough may increase the probability of avian predation on juvenile Chinook Salmon from the many piscivorous birds known to use the site. Future estimates of predation would benefit from consideration of the contribution of piscivorous avian predators.</w:t>
      </w:r>
    </w:p>
    <w:bookmarkEnd w:id="37"/>
    <w:bookmarkStart w:id="38" w:name="management-implications"/>
    <w:p>
      <w:pPr>
        <w:pStyle w:val="Heading2"/>
      </w:pPr>
      <w:r>
        <w:t xml:space="preserve">Management Implications</w:t>
      </w:r>
    </w:p>
    <w:p>
      <w:pPr>
        <w:pStyle w:val="FirstParagraph"/>
      </w:pPr>
      <w:r>
        <w:t xml:space="preserve">At least five of the eight populations in the Upper Salmon MPG must meet criteria set forth by</w:t>
      </w:r>
      <w:r>
        <w:t xml:space="preserve"> </w:t>
      </w:r>
      <w:r>
        <w:t xml:space="preserve">McElhany et al. (2000)</w:t>
      </w:r>
      <w:r>
        <w:t xml:space="preserve"> </w:t>
      </w:r>
      <w:r>
        <w:t xml:space="preserve">and</w:t>
      </w:r>
      <w:r>
        <w:t xml:space="preserve"> </w:t>
      </w:r>
      <w:r>
        <w:t xml:space="preserve">Interior Columbia Technical Recovery Team (2007)</w:t>
      </w:r>
      <w:r>
        <w:t xml:space="preserve"> </w:t>
      </w:r>
      <w:r>
        <w:t xml:space="preserve">for the MPG to be considered viable and for the recovery of the Snake River Evolutionary Significant Unit. Populations with the ESU have substantial cultural value, support downriver mainstem Snake and Columbia River commercial and subsistence fisheries, and support local fisheries and economies in years with sufficient abundance.</w:t>
      </w:r>
    </w:p>
    <w:p>
      <w:pPr>
        <w:pStyle w:val="BodyText"/>
      </w:pPr>
      <w:r>
        <w:t xml:space="preserve">We estimated that consumption of juvenile Chinook Salmon by Northern Pikeminnow in the Deadwater Slough potentially reduces annual adult returns by</w:t>
      </w:r>
      <w:r>
        <w:t xml:space="preserve"> </w:t>
      </w:r>
      <w:r>
        <w:rPr>
          <w:iCs/>
          <w:i/>
          <w:bCs/>
          <w:b/>
        </w:rPr>
        <w:t xml:space="preserve">xxx - x,xxx</w:t>
      </w:r>
      <w:r>
        <w:t xml:space="preserve"> </w:t>
      </w:r>
      <w:r>
        <w:t xml:space="preserve">(perhaps express as percent, too) to upriver populations. Presumably, that reduction in adult returns impacts both the ESA-listed natural populations in the Upper Salmon River MPG and two hatchery populations in the Upper Salmon, Pahsimeroi and Sawtooth hatcheries, which provide for recrational fishing opportunities. Consequently, reducing juvenile Chinook Salmon predation mortalities at Deadwater Slough can potentially benefit multiple upriver natural and hatchery populations upriver. Because the Deadwater Slough is part of the migratory pathway for emigrating salmonids, including for multiple species and populations, the impact of that benefit would likely be higher than tributary habitat rehabilitation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see two potential management actions: 1) removing the Dump Creek delta to restore flow and 2) a local northern pikeminnow bounty program to encourage harvest of northern pikeminnow in Deadwater Slough.</w:t>
      </w:r>
    </w:p>
    <w:bookmarkEnd w:id="38"/>
    <w:bookmarkStart w:id="39" w:name="conclusions"/>
    <w:p>
      <w:pPr>
        <w:pStyle w:val="Heading2"/>
      </w:pPr>
      <w:r>
        <w:t xml:space="preserve">Conclusions</w:t>
      </w:r>
    </w:p>
    <w:p>
      <w:pPr>
        <w:numPr>
          <w:ilvl w:val="0"/>
          <w:numId w:val="1003"/>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03"/>
        </w:numPr>
        <w:pStyle w:val="Compact"/>
      </w:pPr>
      <w:r>
        <w:t xml:space="preserve">The end.</w:t>
      </w:r>
    </w:p>
    <w:bookmarkEnd w:id="39"/>
    <w:bookmarkEnd w:id="40"/>
    <w:bookmarkStart w:id="41" w:name="acknowledgements"/>
    <w:p>
      <w:pPr>
        <w:pStyle w:val="Heading1"/>
      </w:pPr>
      <w:r>
        <w:t xml:space="preserve">Acknowledgements</w:t>
      </w:r>
    </w:p>
    <w:p>
      <w:pPr>
        <w:pStyle w:val="FirstParagraph"/>
      </w:pPr>
      <w:r>
        <w:t xml:space="preserve">The authors extend much appreciation to the many volunteers who assisted with field efforts including collaborators from Bureau of Reclamation, Idaho Department of Fish and Game, and Lemhi Regional Land Trust, among others. This manuscript benefited from reviews and contributions from colleagues at the Idaho Governor’s Office of Species Conservation, Rio Applied Science and Engineering, and from Sean Gibbs and Ben Briscoe at Mount Hood Environmental. Funding for this study was provided by the Bureau of Reclamation, Pacific Northwest Regional Office (contract No. 140R1021F0018). Special thanks to Caitlin Alcott and Inter-Fluve for their administrative support and guidance.</w:t>
      </w:r>
    </w:p>
    <w:p>
      <w:r>
        <w:br w:type="page"/>
      </w:r>
    </w:p>
    <w:bookmarkEnd w:id="41"/>
    <w:bookmarkStart w:id="79" w:name="literature-cited"/>
    <w:p>
      <w:pPr>
        <w:pStyle w:val="Heading1"/>
      </w:pPr>
      <w:r>
        <w:t xml:space="preserve">Literature Cited</w:t>
      </w:r>
    </w:p>
    <w:bookmarkStart w:id="78" w:name="refs"/>
    <w:bookmarkStart w:id="42" w:name="ref-Ackerman2018"/>
    <w:p>
      <w:pPr>
        <w:pStyle w:val="Bibliography"/>
      </w:pPr>
      <w:r>
        <w:t xml:space="preserve">Ackerman, M. W., G. A. Axel, R. A. Carmichael, and K. See. 2018. Movement and distribution of sp/sum</w:t>
      </w:r>
      <w:r>
        <w:t xml:space="preserve"> </w:t>
      </w:r>
      <w:r>
        <w:t xml:space="preserve">Chinook Salmon</w:t>
      </w:r>
      <w:r>
        <w:t xml:space="preserve"> </w:t>
      </w:r>
      <w:r>
        <w:t xml:space="preserve">presmolts in the mainstem</w:t>
      </w:r>
      <w:r>
        <w:t xml:space="preserve"> </w:t>
      </w:r>
      <w:r>
        <w:t xml:space="preserve">Salmon River</w:t>
      </w:r>
      <w:r>
        <w:t xml:space="preserve">, pilot study. Technical report prepared for Idaho Governor’s Office of Species Conservation.</w:t>
      </w:r>
    </w:p>
    <w:bookmarkEnd w:id="42"/>
    <w:bookmarkStart w:id="43" w:name="ref-Axel2015"/>
    <w:p>
      <w:pPr>
        <w:pStyle w:val="Bibliography"/>
      </w:pPr>
      <w:r>
        <w:t xml:space="preserve">Axel, G. A., M. Peterson, C. C. Kozfkay, B. P. Sandford, M. G. Nesbit, B. J. Burke, K. E. Frick, and J. J. Lamb. 2015. Characterizing migration and survival between the upper</w:t>
      </w:r>
      <w:r>
        <w:t xml:space="preserve"> </w:t>
      </w:r>
      <w:r>
        <w:t xml:space="preserve">Salmon River</w:t>
      </w:r>
      <w:r>
        <w:t xml:space="preserve"> </w:t>
      </w:r>
      <w:r>
        <w:t xml:space="preserve">basin 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w:t>
      </w:r>
      <w:r>
        <w:t xml:space="preserve"> </w:t>
      </w:r>
      <w:r>
        <w:t xml:space="preserve">Report of research by Fish Ecology Division, Northwest Fisheries Science Center, National Marine Fisheries Service, National Oceanic and Atmospheric Administration and Idaho Department of Fish and Game. Prepared for Division of Fish and Wildlife, Bonneville Power Administration. 36 pp</w:t>
      </w:r>
      <w:r>
        <w:t xml:space="preserve">.</w:t>
      </w:r>
    </w:p>
    <w:bookmarkEnd w:id="43"/>
    <w:bookmarkStart w:id="44" w:name="ref-Beamesderfer1996"/>
    <w:p>
      <w:pPr>
        <w:pStyle w:val="Bibliography"/>
      </w:pPr>
      <w:r>
        <w:t xml:space="preserve">Beamesderfer, C. P., D. L. Ward, and A. A. Nigro. 1996. Evaluation of the biological basis for a predator control program on</w:t>
      </w:r>
      <w:r>
        <w:t xml:space="preserve"> </w:t>
      </w:r>
      <w:r>
        <w:t xml:space="preserve">Northern Pikeminnow</w:t>
      </w:r>
      <w:r>
        <w:t xml:space="preserve"> </w:t>
      </w:r>
      <w:r>
        <w:t xml:space="preserve">(</w:t>
      </w:r>
      <w:r>
        <w:rPr>
          <w:iCs/>
          <w:i/>
        </w:rPr>
        <w:t xml:space="preserve">Ptychocheilus</w:t>
      </w:r>
      <w:r>
        <w:t xml:space="preserve"> </w:t>
      </w:r>
      <w:r>
        <w:rPr>
          <w:iCs/>
          <w:i/>
        </w:rPr>
        <w:t xml:space="preserve">Oregonensis</w:t>
      </w:r>
      <w:r>
        <w:t xml:space="preserve">) 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53(12):2898–2908.</w:t>
      </w:r>
    </w:p>
    <w:bookmarkEnd w:id="44"/>
    <w:bookmarkStart w:id="45" w:name="ref-Copeland2014"/>
    <w:p>
      <w:pPr>
        <w:pStyle w:val="Bibliography"/>
      </w:pPr>
      <w:r>
        <w:t xml:space="preserve">Copeland, T., M. W. Ackerman, M. P. Corsi, P. Kennedy, K. K. Wright, M. R. Campbell, and W. C. Schrader. 2014. Wild</w:t>
      </w:r>
      <w:r>
        <w:t xml:space="preserve"> </w:t>
      </w:r>
      <w:r>
        <w:t xml:space="preserve">Juvenile Steelhead</w:t>
      </w:r>
      <w:r>
        <w:t xml:space="preserve"> </w:t>
      </w:r>
      <w:r>
        <w:t xml:space="preserve">and</w:t>
      </w:r>
      <w:r>
        <w:t xml:space="preserve"> </w:t>
      </w:r>
      <w:r>
        <w:t xml:space="preserve">Chinook Salmon Abundance</w:t>
      </w:r>
      <w:r>
        <w:t xml:space="preserve"> </w:t>
      </w:r>
      <w:r>
        <w:t xml:space="preserve">and</w:t>
      </w:r>
      <w:r>
        <w:t xml:space="preserve"> </w:t>
      </w:r>
      <w:r>
        <w:t xml:space="preserve">Composition</w:t>
      </w:r>
      <w:r>
        <w:t xml:space="preserve"> </w:t>
      </w:r>
      <w:r>
        <w:t xml:space="preserve">at</w:t>
      </w:r>
      <w:r>
        <w:t xml:space="preserve"> </w:t>
      </w:r>
      <w:r>
        <w:t xml:space="preserve">Lower Granite Dam</w:t>
      </w:r>
      <w:r>
        <w:t xml:space="preserve">,</w:t>
      </w:r>
      <w:r>
        <w:t xml:space="preserve"> </w:t>
      </w:r>
      <w:r>
        <w:t xml:space="preserve">Migratory Years</w:t>
      </w:r>
      <w:r>
        <w:t xml:space="preserve"> </w:t>
      </w:r>
      <w:r>
        <w:t xml:space="preserve">2010 and 2011.</w:t>
      </w:r>
      <w:r>
        <w:t xml:space="preserve"> </w:t>
      </w:r>
      <w:r>
        <w:t xml:space="preserve">Idaho Department of Fish and Game</w:t>
      </w:r>
      <w:r>
        <w:t xml:space="preserve">.</w:t>
      </w:r>
    </w:p>
    <w:bookmarkEnd w:id="45"/>
    <w:bookmarkStart w:id="46"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R-based</w:t>
      </w:r>
      <w:r>
        <w:t xml:space="preserve"> </w:t>
      </w:r>
      <w:r>
        <w:t xml:space="preserve">modeling application. Fisheries 42(11):586–596.</w:t>
      </w:r>
    </w:p>
    <w:bookmarkEnd w:id="46"/>
    <w:bookmarkStart w:id="47"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47"/>
    <w:bookmarkStart w:id="48" w:name="ref-Emerson1973"/>
    <w:p>
      <w:pPr>
        <w:pStyle w:val="Bibliography"/>
      </w:pPr>
      <w:r>
        <w:t xml:space="preserve">Emerson, J. L. 1973. A</w:t>
      </w:r>
      <w:r>
        <w:t xml:space="preserve"> </w:t>
      </w:r>
      <w:r>
        <w:t xml:space="preserve">History</w:t>
      </w:r>
      <w:r>
        <w:t xml:space="preserve"> </w:t>
      </w:r>
      <w:r>
        <w:t xml:space="preserve">of the</w:t>
      </w:r>
      <w:r>
        <w:t xml:space="preserve"> </w:t>
      </w:r>
      <w:r>
        <w:t xml:space="preserve">Salmon National Forest</w:t>
      </w:r>
      <w:r>
        <w:t xml:space="preserve">. Page 194.</w:t>
      </w:r>
      <w:r>
        <w:t xml:space="preserve"> </w:t>
      </w:r>
      <w:r>
        <w:t xml:space="preserve">United States Forest Service</w:t>
      </w:r>
      <w:r>
        <w:t xml:space="preserve">.</w:t>
      </w:r>
    </w:p>
    <w:bookmarkEnd w:id="48"/>
    <w:bookmarkStart w:id="49" w:name="ref-Evans2012"/>
    <w:p>
      <w:pPr>
        <w:pStyle w:val="Bibliography"/>
      </w:pPr>
      <w:r>
        <w:t xml:space="preserve">Evans, A. F., N. J. Hostetter, D. D. Roby, K. Collis, D. E. Lyons, B. P. Sandford, R. D. Ledgerwood, and S. Sebring. 2012. Systemwide evaluation of avian predation on juvenile salmonids from the</w:t>
      </w:r>
      <w:r>
        <w:t xml:space="preserve"> </w:t>
      </w:r>
      <w:r>
        <w:t xml:space="preserve">Columbia River</w:t>
      </w:r>
      <w:r>
        <w:t xml:space="preserve"> </w:t>
      </w:r>
      <w:r>
        <w:t xml:space="preserve">based on recoveries of passive integrated transponder tags. Transactions of the American Fisheries Society 141(4):975–989.</w:t>
      </w:r>
    </w:p>
    <w:bookmarkEnd w:id="49"/>
    <w:bookmarkStart w:id="50" w:name="ref-Evans2016"/>
    <w:p>
      <w:pPr>
        <w:pStyle w:val="Bibliography"/>
      </w:pPr>
      <w:r>
        <w:t xml:space="preserve">Evans, A. F., Q. Payton, A. Turecek, B. Cramer, K. Collis, D. D. Roby, P. J. Loschl, L. Sullivan, J. Skalski, M. Weiland, and C. Dotson. 2016. Avian predation on juvenile salmonids: Spatial and temporal analysis based on acoustic and passive integrated transponder tags. Transactions of the American Fisheries Society 145(4):860–877.</w:t>
      </w:r>
    </w:p>
    <w:bookmarkEnd w:id="50"/>
    <w:bookmarkStart w:id="51" w:name="ref-Foster1977"/>
    <w:p>
      <w:pPr>
        <w:pStyle w:val="Bibliography"/>
      </w:pPr>
      <w:r>
        <w:t xml:space="preserve">Foster, J. R. 1977. Pulsed gastric lavage:</w:t>
      </w:r>
      <w:r>
        <w:t xml:space="preserve"> </w:t>
      </w:r>
      <w:r>
        <w:t xml:space="preserve">An</w:t>
      </w:r>
      <w:r>
        <w:t xml:space="preserve"> </w:t>
      </w:r>
      <w:r>
        <w:t xml:space="preserve">efficient method of removing the stomach contents of live fish. The Progressive Fish-Culturist 39(4):166–169.</w:t>
      </w:r>
    </w:p>
    <w:bookmarkEnd w:id="51"/>
    <w:bookmarkStart w:id="52" w:name="ref-Fresh2003"/>
    <w:p>
      <w:pPr>
        <w:pStyle w:val="Bibliography"/>
      </w:pPr>
      <w:r>
        <w:t xml:space="preserve">Fresh, K. L., S. L. Schroder, and Mark I. Carr. 2003. Predation by</w:t>
      </w:r>
      <w:r>
        <w:t xml:space="preserve"> </w:t>
      </w:r>
      <w:r>
        <w:t xml:space="preserve">Northern Pikeminnow</w:t>
      </w:r>
      <w:r>
        <w:t xml:space="preserve"> </w:t>
      </w:r>
      <w:r>
        <w:t xml:space="preserve">on hatchery and wild</w:t>
      </w:r>
      <w:r>
        <w:t xml:space="preserve"> </w:t>
      </w:r>
      <w:r>
        <w:t xml:space="preserve">Coho Salmon</w:t>
      </w:r>
      <w:r>
        <w:t xml:space="preserve"> </w:t>
      </w:r>
      <w:r>
        <w:t xml:space="preserve">smolts in the</w:t>
      </w:r>
      <w:r>
        <w:t xml:space="preserve"> </w:t>
      </w:r>
      <w:r>
        <w:t xml:space="preserve">Chehalis River</w:t>
      </w:r>
      <w:r>
        <w:t xml:space="preserve">,</w:t>
      </w:r>
      <w:r>
        <w:t xml:space="preserve"> </w:t>
      </w:r>
      <w:r>
        <w:t xml:space="preserve">Washington</w:t>
      </w:r>
      <w:r>
        <w:t xml:space="preserve">. North American Journal of Fisheries Management 23(4):1257–1264.</w:t>
      </w:r>
    </w:p>
    <w:bookmarkEnd w:id="52"/>
    <w:bookmarkStart w:id="53" w:name="ref-Frost2000"/>
    <w:p>
      <w:pPr>
        <w:pStyle w:val="Bibliography"/>
      </w:pPr>
      <w:r>
        <w:t xml:space="preserve">Frost, C. N. 2000. A key for identifying preyfish in the columbia river based on diagnostic bones.</w:t>
      </w:r>
      <w:r>
        <w:t xml:space="preserve"> </w:t>
      </w:r>
      <w:r>
        <w:t xml:space="preserve">U.S. Geological Survey, Western Fisheries Research Center, Columbia River Research Laboratory</w:t>
      </w:r>
      <w:r>
        <w:t xml:space="preserve">.</w:t>
      </w:r>
    </w:p>
    <w:bookmarkEnd w:id="53"/>
    <w:bookmarkStart w:id="54" w:name="ref-Hansel1988"/>
    <w:p>
      <w:pPr>
        <w:pStyle w:val="Bibliography"/>
      </w:pPr>
      <w:r>
        <w:t xml:space="preserve">Hansel, H. C., S. D. Duke, P. T. Lofy, and G. A. Gray. 1988. Use of diagnostic bones to identify and estimate original lengths of ingested prey fishes. Transactions of the American Fisheries Society 117(1):55–62.</w:t>
      </w:r>
    </w:p>
    <w:bookmarkEnd w:id="54"/>
    <w:bookmarkStart w:id="55" w:name="ref-ICTRT2007"/>
    <w:p>
      <w:pPr>
        <w:pStyle w:val="Bibliography"/>
      </w:pPr>
      <w:r>
        <w:t xml:space="preserve">Interior Columbia Technical Recovery Team. 2007. Viability criteria for application to interior</w:t>
      </w:r>
      <w:r>
        <w:t xml:space="preserve"> </w:t>
      </w:r>
      <w:r>
        <w:t xml:space="preserve">Columbia</w:t>
      </w:r>
      <w:r>
        <w:t xml:space="preserve"> </w:t>
      </w:r>
      <w:r>
        <w:t xml:space="preserve">basin salmonid</w:t>
      </w:r>
      <w:r>
        <w:t xml:space="preserve"> </w:t>
      </w:r>
      <w:r>
        <w:t xml:space="preserve">ESUs</w:t>
      </w:r>
      <w:r>
        <w:t xml:space="preserve">.</w:t>
      </w:r>
      <w:r>
        <w:t xml:space="preserve"> </w:t>
      </w:r>
      <w:r>
        <w:t xml:space="preserve">National Marine Fisheries Service, Northwest Fisheries Science Center, National Oceanographic and Atmospheric Administration</w:t>
      </w:r>
      <w:r>
        <w:t xml:space="preserve">.</w:t>
      </w:r>
    </w:p>
    <w:bookmarkEnd w:id="55"/>
    <w:bookmarkStart w:id="56" w:name="ref-Knutsen1999"/>
    <w:p>
      <w:pPr>
        <w:pStyle w:val="Bibliography"/>
      </w:pPr>
      <w:r>
        <w:t xml:space="preserve">Knutsen, C. J., and D. L. Ward. 1999.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before and after sustained exploitation. Transactions of the American Fisheries Society 128(6):1008–1019.</w:t>
      </w:r>
    </w:p>
    <w:bookmarkEnd w:id="56"/>
    <w:bookmarkStart w:id="57" w:name="ref-Lott2020"/>
    <w:p>
      <w:pPr>
        <w:pStyle w:val="Bibliography"/>
      </w:pPr>
      <w:r>
        <w:t xml:space="preserve">Lott, B., K. See, M. W. Ackerman, and N. Porter. 2020. Deadwater predator assessment. Technical report prepared by Biomark, Inc. Prepared for Bureau of Reclamation, Department of Interior.</w:t>
      </w:r>
    </w:p>
    <w:bookmarkEnd w:id="57"/>
    <w:bookmarkStart w:id="58" w:name="ref-McCann2019"/>
    <w:p>
      <w:pPr>
        <w:pStyle w:val="Bibliography"/>
      </w:pPr>
      <w:r>
        <w:t xml:space="preserve">McCann, J., B. Chockley, E. Cooper, B. Hsu, G. Scheer, S. Haeseker, R. Lessard, T. Copeland, E. Tinus, A. Storch, D. Rawding, and M. DeHart. 2019. Comparative survival study of</w:t>
      </w:r>
      <w:r>
        <w:t xml:space="preserve"> </w:t>
      </w:r>
      <w:r>
        <w:t xml:space="preserve">PIT-tagged</w:t>
      </w:r>
      <w:r>
        <w:t xml:space="preserve"> </w:t>
      </w:r>
      <w:r>
        <w:t xml:space="preserve">spring/summer/fall</w:t>
      </w:r>
      <w:r>
        <w:t xml:space="preserve"> </w:t>
      </w:r>
      <w:r>
        <w:t xml:space="preserve">Chinook</w:t>
      </w:r>
      <w:r>
        <w:t xml:space="preserve">, summer steelhead, and</w:t>
      </w:r>
      <w:r>
        <w:t xml:space="preserve"> </w:t>
      </w:r>
      <w:r>
        <w:t xml:space="preserve">Sockeye</w:t>
      </w:r>
      <w:r>
        <w:t xml:space="preserve">.</w:t>
      </w:r>
      <w:r>
        <w:t xml:space="preserve"> </w:t>
      </w:r>
      <w:r>
        <w:t xml:space="preserve">Draft</w:t>
      </w:r>
      <w:r>
        <w:t xml:space="preserve"> </w:t>
      </w:r>
      <w:r>
        <w:t xml:space="preserve">2019 annual report.</w:t>
      </w:r>
      <w:r>
        <w:t xml:space="preserve"> </w:t>
      </w:r>
      <w:r>
        <w:t xml:space="preserve">BPA Project</w:t>
      </w:r>
      <w:r>
        <w:t xml:space="preserve"> </w:t>
      </w:r>
      <w:r>
        <w:t xml:space="preserve">#19960200.</w:t>
      </w:r>
      <w:r>
        <w:t xml:space="preserve"> </w:t>
      </w:r>
      <w:r>
        <w:t xml:space="preserve">Available</w:t>
      </w:r>
      <w:r>
        <w:t xml:space="preserve"> </w:t>
      </w:r>
      <w:r>
        <w:t xml:space="preserve">at:</w:t>
      </w:r>
      <w:r>
        <w:t xml:space="preserve"> </w:t>
      </w:r>
      <w:r>
        <w:t xml:space="preserve">https://www.fpc.org/documents/CSS/2019CSS_FullDRAFT.pdf.</w:t>
      </w:r>
    </w:p>
    <w:bookmarkEnd w:id="58"/>
    <w:bookmarkStart w:id="59"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Commerce</w:t>
      </w:r>
      <w:r>
        <w:t xml:space="preserve">,</w:t>
      </w:r>
      <w:r>
        <w:t xml:space="preserve"> </w:t>
      </w:r>
      <w:r>
        <w:t xml:space="preserve">National Oceanic</w:t>
      </w:r>
      <w:r>
        <w:t xml:space="preserve"> </w:t>
      </w:r>
      <w:r>
        <w:t xml:space="preserve">and</w:t>
      </w:r>
      <w:r>
        <w:t xml:space="preserve"> </w:t>
      </w:r>
      <w:r>
        <w:t xml:space="preserve">Atmospheric Administration</w:t>
      </w:r>
      <w:r>
        <w:t xml:space="preserve">,</w:t>
      </w:r>
      <w:r>
        <w:t xml:space="preserve"> </w:t>
      </w:r>
      <w:r>
        <w:t xml:space="preserve">Technical Memo</w:t>
      </w:r>
      <w:r>
        <w:t xml:space="preserve">.</w:t>
      </w:r>
      <w:r>
        <w:t xml:space="preserve"> </w:t>
      </w:r>
      <w:r>
        <w:t xml:space="preserve">NMFS-NWFSC-42</w:t>
      </w:r>
      <w:r>
        <w:t xml:space="preserve">.:156 pp.</w:t>
      </w:r>
    </w:p>
    <w:bookmarkEnd w:id="59"/>
    <w:bookmarkStart w:id="60" w:name="ref-Moss2016"/>
    <w:p>
      <w:pPr>
        <w:pStyle w:val="Bibliography"/>
      </w:pPr>
      <w:r>
        <w:t xml:space="preserve">Moss, J., J. Murphy, E. Fergusson, and R. Heintz. 2016. Allometric relationships between body size and energy density of juvenile</w:t>
      </w:r>
      <w:r>
        <w:t xml:space="preserve"> </w:t>
      </w:r>
      <w:r>
        <w:t xml:space="preserve">Chinook</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Chum</w:t>
      </w:r>
      <w:r>
        <w:t xml:space="preserve"> </w:t>
      </w:r>
      <w:r>
        <w:t xml:space="preserve">(</w:t>
      </w:r>
      <w:r>
        <w:rPr>
          <w:iCs/>
          <w:i/>
        </w:rPr>
        <w:t xml:space="preserve">O</w:t>
      </w:r>
      <w:r>
        <w:rPr>
          <w:iCs/>
          <w:i/>
        </w:rPr>
        <w:t xml:space="preserve">. Keta</w:t>
      </w:r>
      <w:r>
        <w:t xml:space="preserve">)</w:t>
      </w:r>
      <w:r>
        <w:t xml:space="preserve"> </w:t>
      </w:r>
      <w:r>
        <w:t xml:space="preserve">Salmon</w:t>
      </w:r>
      <w:r>
        <w:t xml:space="preserve"> </w:t>
      </w:r>
      <w:r>
        <w:t xml:space="preserve">across a latitudinal gradient. North Pacific Anadromous Fish Commission Bulletin 6(1):161–168.</w:t>
      </w:r>
    </w:p>
    <w:bookmarkEnd w:id="60"/>
    <w:bookmarkStart w:id="61" w:name="ref-Murphy2021"/>
    <w:p>
      <w:pPr>
        <w:pStyle w:val="Bibliography"/>
      </w:pPr>
      <w:r>
        <w:t xml:space="preserve">Murphy, C. A., J. D. Romer, K. Stertz, I. Arismendi, R. Emig, F. Monzyk, and S. L. Johnson. 2021. Damming salmon fry: Evidence for predation by non-native warmwater fishes in reservoirs. Ecosphere 12(9).</w:t>
      </w:r>
    </w:p>
    <w:bookmarkEnd w:id="61"/>
    <w:bookmarkStart w:id="62" w:name="ref-NOAA2017"/>
    <w:p>
      <w:pPr>
        <w:pStyle w:val="Bibliography"/>
      </w:pPr>
      <w:r>
        <w:t xml:space="preserve">National Oceanic and Atmospheric Administration. 2017.</w:t>
      </w:r>
      <w:r>
        <w:t xml:space="preserve"> </w:t>
      </w:r>
      <w:r>
        <w:t xml:space="preserve">ESA</w:t>
      </w:r>
      <w:r>
        <w:t xml:space="preserve"> </w:t>
      </w:r>
      <w:r>
        <w:t xml:space="preserve">recovery plan for</w:t>
      </w:r>
      <w:r>
        <w:t xml:space="preserve"> </w:t>
      </w:r>
      <w:r>
        <w:t xml:space="preserve">Snake River</w:t>
      </w:r>
      <w:r>
        <w:t xml:space="preserve"> </w:t>
      </w:r>
      <w:r>
        <w:t xml:space="preserve">spring/summer</w:t>
      </w:r>
      <w:r>
        <w:t xml:space="preserve"> </w:t>
      </w:r>
      <w:r>
        <w:t xml:space="preserve">Chinook Salmon</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Snake River</w:t>
      </w:r>
      <w:r>
        <w:t xml:space="preserve"> </w:t>
      </w:r>
      <w:r>
        <w:t xml:space="preserve">basin steelhead (</w:t>
      </w:r>
      <w:r>
        <w:rPr>
          <w:iCs/>
          <w:i/>
        </w:rPr>
        <w:t xml:space="preserve">Oncorhynchus</w:t>
      </w:r>
      <w:r>
        <w:t xml:space="preserve"> </w:t>
      </w:r>
      <w:r>
        <w:rPr>
          <w:iCs/>
          <w:i/>
        </w:rPr>
        <w:t xml:space="preserve">Mykiss</w:t>
      </w:r>
      <w:r>
        <w:t xml:space="preserve">).</w:t>
      </w:r>
    </w:p>
    <w:bookmarkEnd w:id="62"/>
    <w:bookmarkStart w:id="63" w:name="ref-Nemeth1999"/>
    <w:p>
      <w:pPr>
        <w:pStyle w:val="Bibliography"/>
      </w:pPr>
      <w:r>
        <w:t xml:space="preserve">Nemeth, D. J., and R. B. Kiefer. 1999. Snake</w:t>
      </w:r>
      <w:r>
        <w:t xml:space="preserve"> </w:t>
      </w:r>
      <w:r>
        <w:t xml:space="preserve">River</w:t>
      </w:r>
      <w:r>
        <w:t xml:space="preserve"> </w:t>
      </w:r>
      <w:r>
        <w:t xml:space="preserve">spring and summer</w:t>
      </w:r>
      <w:r>
        <w:t xml:space="preserve"> </w:t>
      </w:r>
      <w:r>
        <w:t xml:space="preserve">Chinook Salmon</w:t>
      </w:r>
      <w:r>
        <w:t xml:space="preserve"> </w:t>
      </w:r>
      <w:r>
        <w:t xml:space="preserve">choice for recovery. Fisheries 24(10):16–23.</w:t>
      </w:r>
    </w:p>
    <w:bookmarkEnd w:id="63"/>
    <w:bookmarkStart w:id="64" w:name="ref-Ogle2021"/>
    <w:p>
      <w:pPr>
        <w:pStyle w:val="Bibliography"/>
      </w:pPr>
      <w:r>
        <w:t xml:space="preserve">Ogle, D. H., J. C. Doll, P. Wheeler, and A. Dinno. 2021.</w:t>
      </w:r>
      <w:r>
        <w:t xml:space="preserve"> </w:t>
      </w:r>
      <w:r>
        <w:t xml:space="preserve">FSA</w:t>
      </w:r>
      <w:r>
        <w:t xml:space="preserve">:</w:t>
      </w:r>
      <w:r>
        <w:t xml:space="preserve"> </w:t>
      </w:r>
      <w:r>
        <w:t xml:space="preserve">Fisheries Stock Analysis</w:t>
      </w:r>
      <w:r>
        <w:t xml:space="preserve">.</w:t>
      </w:r>
      <w:r>
        <w:t xml:space="preserve"> </w:t>
      </w:r>
      <w:r>
        <w:t xml:space="preserve">R</w:t>
      </w:r>
      <w:r>
        <w:t xml:space="preserve"> </w:t>
      </w:r>
      <w:r>
        <w:t xml:space="preserve">package version 0.9.1.</w:t>
      </w:r>
    </w:p>
    <w:bookmarkEnd w:id="64"/>
    <w:bookmarkStart w:id="65" w:name="ref-Parker1995"/>
    <w:p>
      <w:pPr>
        <w:pStyle w:val="Bibliography"/>
      </w:pPr>
      <w:r>
        <w:t xml:space="preserve">Parker, R. M., M. P. Zimmerman, and D. L. Ward. 1995. Variability in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Transactions of the American Fisheries Society 124(3):335–346.</w:t>
      </w:r>
    </w:p>
    <w:bookmarkEnd w:id="65"/>
    <w:bookmarkStart w:id="66" w:name="ref-Petersen1994"/>
    <w:p>
      <w:pPr>
        <w:pStyle w:val="Bibliography"/>
      </w:pPr>
      <w:r>
        <w:t xml:space="preserve">Petersen, J. H. 1994. Importance of spatial pattern in estimating predation on juvenile salmonids in the</w:t>
      </w:r>
      <w:r>
        <w:t xml:space="preserve"> </w:t>
      </w:r>
      <w:r>
        <w:t xml:space="preserve">Columbia River</w:t>
      </w:r>
      <w:r>
        <w:t xml:space="preserve">. Transactions of the American Fisheries Society 123(6):924–930.</w:t>
      </w:r>
    </w:p>
    <w:bookmarkEnd w:id="66"/>
    <w:bookmarkStart w:id="67" w:name="ref-Porter2019"/>
    <w:p>
      <w:pPr>
        <w:pStyle w:val="Bibliography"/>
      </w:pPr>
      <w:r>
        <w:t xml:space="preserve">Porter, N. J., M. W. Ackerman, T. Mackey, G. A. Axel, and K. E. See. 2019. Movement and distribution of</w:t>
      </w:r>
      <w:r>
        <w:t xml:space="preserve"> </w:t>
      </w:r>
      <w:r>
        <w:t xml:space="preserve">Chinook Salmon</w:t>
      </w:r>
      <w:r>
        <w:t xml:space="preserve"> </w:t>
      </w:r>
      <w:r>
        <w:t xml:space="preserve">presmolts in the mainstem</w:t>
      </w:r>
      <w:r>
        <w:t xml:space="preserve"> </w:t>
      </w:r>
      <w:r>
        <w:t xml:space="preserve">Salmon River</w:t>
      </w:r>
      <w:r>
        <w:t xml:space="preserve">, 2018/2019 annual report.</w:t>
      </w:r>
      <w:r>
        <w:t xml:space="preserve"> </w:t>
      </w:r>
      <w:r>
        <w:t xml:space="preserve">Prepared by Biomark, Inc. - Applied Biological Services and Fish Ecology Division, Northwest Fisheries Science Center, National Marine Fisheries Service, National Oceanic and Atmospheric Administration. 47 pp</w:t>
      </w:r>
      <w:r>
        <w:t xml:space="preserve">.</w:t>
      </w:r>
    </w:p>
    <w:bookmarkEnd w:id="67"/>
    <w:bookmarkStart w:id="68" w:name="ref-RCoreTeam2021"/>
    <w:p>
      <w:pPr>
        <w:pStyle w:val="Bibliography"/>
      </w:pPr>
      <w:r>
        <w:t xml:space="preserve">R Core Team. 2021. R:</w:t>
      </w:r>
      <w:r>
        <w:t xml:space="preserve"> </w:t>
      </w:r>
      <w:r>
        <w:t xml:space="preserve">A</w:t>
      </w:r>
      <w:r>
        <w:t xml:space="preserve"> </w:t>
      </w:r>
      <w:r>
        <w:t xml:space="preserve">language and environment for statistical computing. R Foundation for Statistical Computing,</w:t>
      </w:r>
      <w:r>
        <w:t xml:space="preserve"> </w:t>
      </w:r>
      <w:r>
        <w:t xml:space="preserve">Vienna, Austria</w:t>
      </w:r>
      <w:r>
        <w:t xml:space="preserve">.</w:t>
      </w:r>
    </w:p>
    <w:bookmarkEnd w:id="68"/>
    <w:bookmarkStart w:id="69"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69"/>
    <w:bookmarkStart w:id="70" w:name="ref-Rubenson2020"/>
    <w:p>
      <w:pPr>
        <w:pStyle w:val="Bibliography"/>
      </w:pPr>
      <w:r>
        <w:t xml:space="preserve">Rubenson, E. S., D. J. Lawrence, and J. D. Olden. 2020. Threats to rearing juvenile</w:t>
      </w:r>
      <w:r>
        <w:t xml:space="preserve"> </w:t>
      </w:r>
      <w:r>
        <w:t xml:space="preserve">Chinook Salmon</w:t>
      </w:r>
      <w:r>
        <w:t xml:space="preserve"> </w:t>
      </w:r>
      <w:r>
        <w:t xml:space="preserve">from nonnative</w:t>
      </w:r>
      <w:r>
        <w:t xml:space="preserve"> </w:t>
      </w:r>
      <w:r>
        <w:t xml:space="preserve">Smallmouth Bass</w:t>
      </w:r>
      <w:r>
        <w:t xml:space="preserve"> </w:t>
      </w:r>
      <w:r>
        <w:t xml:space="preserve">inferred from stable isotope and fatty acid biomarkers. Transactions of the American Fisheries Society 149(3):350–363.</w:t>
      </w:r>
    </w:p>
    <w:bookmarkEnd w:id="70"/>
    <w:bookmarkStart w:id="71" w:name="ref-Shively1996"/>
    <w:p>
      <w:pPr>
        <w:pStyle w:val="Bibliography"/>
      </w:pPr>
      <w:r>
        <w:t xml:space="preserve">Shively, R. S., T. P. Poe, M. B. Sheer, and R. Peters. 1996. Criteria for reducing predation by</w:t>
      </w:r>
      <w:r>
        <w:t xml:space="preserve"> </w:t>
      </w:r>
      <w:r>
        <w:t xml:space="preserve">Northern Squawfish</w:t>
      </w:r>
      <w:r>
        <w:t xml:space="preserve"> </w:t>
      </w:r>
      <w:r>
        <w:t xml:space="preserve">near juvenile salmonid bypass outfalls at</w:t>
      </w:r>
      <w:r>
        <w:t xml:space="preserve"> </w:t>
      </w:r>
      <w:r>
        <w:t xml:space="preserve">Columbia River</w:t>
      </w:r>
      <w:r>
        <w:t xml:space="preserve"> </w:t>
      </w:r>
      <w:r>
        <w:t xml:space="preserve">dams. Regulated Rivers: Research &amp; Management 12(4-5):493–500.</w:t>
      </w:r>
    </w:p>
    <w:bookmarkEnd w:id="71"/>
    <w:bookmarkStart w:id="72" w:name="ref-Tabor1993"/>
    <w:p>
      <w:pPr>
        <w:pStyle w:val="Bibliography"/>
      </w:pPr>
      <w:r>
        <w:t xml:space="preserve">Tabor, R. A., R. S. Shively, and T. P. Poe. 1993. Predation of juvenile salmonids by</w:t>
      </w:r>
      <w:r>
        <w:t xml:space="preserve"> </w:t>
      </w:r>
      <w:r>
        <w:t xml:space="preserve">Smallmouth Bass</w:t>
      </w:r>
      <w:r>
        <w:t xml:space="preserve"> </w:t>
      </w:r>
      <w:r>
        <w:t xml:space="preserve">and</w:t>
      </w:r>
      <w:r>
        <w:t xml:space="preserve"> </w:t>
      </w:r>
      <w:r>
        <w:t xml:space="preserve">Northern Pikeminnow</w:t>
      </w:r>
      <w:r>
        <w:t xml:space="preserve"> </w:t>
      </w:r>
      <w:r>
        <w:t xml:space="preserve">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13(4):831–838.</w:t>
      </w:r>
    </w:p>
    <w:bookmarkEnd w:id="72"/>
    <w:bookmarkStart w:id="73" w:name="ref-Venditti2000"/>
    <w:p>
      <w:pPr>
        <w:pStyle w:val="Bibliography"/>
      </w:pPr>
      <w:r>
        <w:t xml:space="preserve">Venditti, D. A., D. W. Rondorf, and J. M. Kraut. 2000. Migratory behavior and forebay delay of radio-tagged juvenile fall</w:t>
      </w:r>
      <w:r>
        <w:t xml:space="preserve"> </w:t>
      </w:r>
      <w:r>
        <w:t xml:space="preserve">Chinook Salmon</w:t>
      </w:r>
      <w:r>
        <w:t xml:space="preserve"> </w:t>
      </w:r>
      <w:r>
        <w:t xml:space="preserve">in a lower</w:t>
      </w:r>
      <w:r>
        <w:t xml:space="preserve"> </w:t>
      </w:r>
      <w:r>
        <w:t xml:space="preserve">Snake River</w:t>
      </w:r>
      <w:r>
        <w:t xml:space="preserve"> </w:t>
      </w:r>
      <w:r>
        <w:t xml:space="preserve">impoundment. North American Journal of Fisheries Management 20(1):41–52.</w:t>
      </w:r>
    </w:p>
    <w:bookmarkEnd w:id="73"/>
    <w:bookmarkStart w:id="74" w:name="ref-Ward1995"/>
    <w:p>
      <w:pPr>
        <w:pStyle w:val="Bibliography"/>
      </w:pPr>
      <w:r>
        <w:t xml:space="preserve">Ward, D. L., J. H. Petersen, and J. J. Loch. 1995. Index of predation on juvenile salmonids by</w:t>
      </w:r>
      <w:r>
        <w:t xml:space="preserve"> </w:t>
      </w:r>
      <w:r>
        <w:t xml:space="preserve">Northern Pikeminnow</w:t>
      </w:r>
      <w:r>
        <w:t xml:space="preserve"> </w:t>
      </w:r>
      <w:r>
        <w:t xml:space="preserve">in the lower and middle</w:t>
      </w:r>
      <w:r>
        <w:t xml:space="preserve"> </w:t>
      </w:r>
      <w:r>
        <w:t xml:space="preserve">Columbia River</w:t>
      </w:r>
      <w:r>
        <w:t xml:space="preserve">, and in the lower</w:t>
      </w:r>
      <w:r>
        <w:t xml:space="preserve"> </w:t>
      </w:r>
      <w:r>
        <w:t xml:space="preserve">Snake River</w:t>
      </w:r>
      <w:r>
        <w:t xml:space="preserve">. Transactions of the American Fisheries Society 124(3):321–334.</w:t>
      </w:r>
    </w:p>
    <w:bookmarkEnd w:id="74"/>
    <w:bookmarkStart w:id="75" w:name="ref-Winther2020"/>
    <w:p>
      <w:pPr>
        <w:pStyle w:val="Bibliography"/>
      </w:pPr>
      <w:r>
        <w:t xml:space="preserve">Winther, E., C. M. Barr, C. Miller, and C. Wheaton. 2020. Report on the predation index, predator control fisheries, and program evaluation for the</w:t>
      </w:r>
      <w:r>
        <w:t xml:space="preserve"> </w:t>
      </w:r>
      <w:r>
        <w:t xml:space="preserve">Columbia River</w:t>
      </w:r>
      <w:r>
        <w:t xml:space="preserve"> </w:t>
      </w:r>
      <w:r>
        <w:t xml:space="preserve">basin</w:t>
      </w:r>
      <w:r>
        <w:t xml:space="preserve"> </w:t>
      </w:r>
      <w:r>
        <w:t xml:space="preserve">Northern Pikeminnow</w:t>
      </w:r>
      <w:r>
        <w:t xml:space="preserve"> </w:t>
      </w:r>
      <w:r>
        <w:t xml:space="preserve">sport reward program, 2020 annual report.</w:t>
      </w:r>
      <w:r>
        <w:t xml:space="preserve"> </w:t>
      </w:r>
      <w:r>
        <w:t xml:space="preserve">Pacific States Marine Fisheries Commission, Washington Department of Fish and Wildlife, Oregon Department of Fish and Wildife</w:t>
      </w:r>
      <w:r>
        <w:t xml:space="preserve">, Funded by: U.S. Deparment of Energy, Bonneville Power Administration, Environment, Fish, and Wildife. Project Number 1990-077-00. Contract Number 71866.</w:t>
      </w:r>
    </w:p>
    <w:bookmarkEnd w:id="75"/>
    <w:bookmarkStart w:id="76" w:name="ref-Wydoski2003"/>
    <w:p>
      <w:pPr>
        <w:pStyle w:val="Bibliography"/>
      </w:pPr>
      <w:r>
        <w:t xml:space="preserve">Wydoski, R. S., and R. R. Whitney. 2003. Inland fishes of</w:t>
      </w:r>
      <w:r>
        <w:t xml:space="preserve"> </w:t>
      </w:r>
      <w:r>
        <w:t xml:space="preserve">Washington</w:t>
      </w:r>
      <w:r>
        <w:t xml:space="preserve">:</w:t>
      </w:r>
      <w:r>
        <w:t xml:space="preserve"> </w:t>
      </w:r>
      <w:r>
        <w:t xml:space="preserve">Second</w:t>
      </w:r>
      <w:r>
        <w:t xml:space="preserve"> </w:t>
      </w:r>
      <w:r>
        <w:t xml:space="preserve">edition, revised and expanded.</w:t>
      </w:r>
      <w:r>
        <w:t xml:space="preserve"> </w:t>
      </w:r>
      <w:r>
        <w:t xml:space="preserve">University of Washington Press</w:t>
      </w:r>
      <w:r>
        <w:t xml:space="preserve">.</w:t>
      </w:r>
    </w:p>
    <w:bookmarkEnd w:id="76"/>
    <w:bookmarkStart w:id="77" w:name="ref-Zimmerman1999"/>
    <w:p>
      <w:pPr>
        <w:pStyle w:val="Bibliography"/>
      </w:pPr>
      <w:r>
        <w:t xml:space="preserve">Zimmerman, M. P., and D. L. Ward. 1999. Index of predation on juvenile salmonids by</w:t>
      </w:r>
      <w:r>
        <w:t xml:space="preserve"> </w:t>
      </w:r>
      <w:r>
        <w:t xml:space="preserve">Northern Pikeminnow</w:t>
      </w:r>
      <w:r>
        <w:t xml:space="preserve"> </w:t>
      </w:r>
      <w:r>
        <w:t xml:space="preserve">in the lower</w:t>
      </w:r>
      <w:r>
        <w:t xml:space="preserve"> </w:t>
      </w:r>
      <w:r>
        <w:t xml:space="preserve">Columbia River</w:t>
      </w:r>
      <w:r>
        <w:t xml:space="preserve"> </w:t>
      </w:r>
      <w:r>
        <w:t xml:space="preserve">basin from 1994-96. Transactions of the American Fisheries Society 128(6):995–1007.</w:t>
      </w:r>
    </w:p>
    <w:bookmarkEnd w:id="77"/>
    <w:bookmarkEnd w:id="78"/>
    <w:p>
      <w:r>
        <w:br w:type="page"/>
      </w:r>
    </w:p>
    <w:bookmarkEnd w:id="79"/>
    <w:bookmarkStart w:id="81" w:name="tables"/>
    <w:p>
      <w:pPr>
        <w:pStyle w:val="Heading1"/>
      </w:pPr>
      <w:r>
        <w:t xml:space="preserve">Tables</w:t>
      </w:r>
    </w:p>
    <w:bookmarkStart w:id="80" w:name="tables"/>
    <w:bookmarkEnd w:id="80"/>
    <w:p>
      <w:pPr>
        <w:pStyle w:val="TableCaption"/>
      </w:pPr>
      <w:r>
        <w:t xml:space="preserve">Table 1: Data summary for single-census mark-recapture estimators. M is the total number of fish caught in the first sample event, marked and returned to the population; n is the total number of fish caught in the second sample, and m is the number of previously marked fish caught in the second sample event.</w:t>
      </w:r>
    </w:p>
    <w:tbl>
      <w:tblPr>
        <w:tblStyle w:val="Table"/>
        <w:tblW w:type="auto" w:w="0"/>
        <w:tblLook w:firstRow="1" w:lastRow="0" w:firstColumn="0" w:lastColumn="0" w:noHBand="0" w:noVBand="0" w:val="0020"/>
        <w:tblCaption w:val="Table 1: Data summary for single-census mark-recapture estimators. M is the total number of fish caught in the first sample event, marked and returned to the population; n is the total number of fish caught in the second sample, and m is the number of previously marked fish caught in the second sample event."/>
      </w:tblPr>
      <w:tblGrid>
        <w:gridCol w:w="1584"/>
        <w:gridCol w:w="1584"/>
        <w:gridCol w:w="1584"/>
        <w:gridCol w:w="1584"/>
        <w:gridCol w:w="1584"/>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left"/>
            </w:pPr>
            <w:r>
              <w:t xml:space="preserve">Northern Pikeminnow</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Data summary for multiple-census mark-recapture estimators. M is the total number of fish caught in previous events, marked and returned to the population; n is the total number of fish caught in the current event; m is the number of marked fish caught in that event; u is the number of unmarked fish caught, and R is the number of marked fish returned to the population.</w:t>
      </w:r>
    </w:p>
    <w:tbl>
      <w:tblPr>
        <w:tblStyle w:val="Table"/>
        <w:tblW w:type="auto" w:w="0"/>
        <w:tblLook w:firstRow="1" w:lastRow="0" w:firstColumn="0" w:lastColumn="0" w:noHBand="0" w:noVBand="0" w:val="0020"/>
        <w:tblCaption w:val="Table 2: Data summary for multiple-census mark-recapture estimators. M is the total number of fish caught in previous events, marked and returned to the population; n is the total number of fish caught in the current event; m is the number of marked fish caught in that event; u is the number of unmarked fish caught, and R is the number of marked fish returned to the population."/>
      </w:tblPr>
      <w:tblGrid>
        <w:gridCol w:w="990"/>
        <w:gridCol w:w="990"/>
        <w:gridCol w:w="990"/>
        <w:gridCol w:w="990"/>
        <w:gridCol w:w="990"/>
        <w:gridCol w:w="990"/>
        <w:gridCol w:w="990"/>
        <w:gridCol w:w="990"/>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left"/>
            </w:pPr>
            <w:r>
              <w:t xml:space="preserve">Date</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2019-11-12</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c>
          <w:tcPr/>
          <w:p>
            <w:pPr>
              <w:pStyle w:val="Compact"/>
              <w:jc w:val="right"/>
            </w:pPr>
            <w:r>
              <w:t xml:space="preserve">0</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2019-11-13</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c>
          <w:tcPr/>
          <w:p>
            <w:pPr>
              <w:pStyle w:val="Compact"/>
              <w:jc w:val="right"/>
            </w:pPr>
            <w:r>
              <w:t xml:space="preserve">174</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2019-11-19</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c>
          <w:tcPr/>
          <w:p>
            <w:pPr>
              <w:pStyle w:val="Compact"/>
              <w:jc w:val="right"/>
            </w:pPr>
            <w:r>
              <w:t xml:space="preserve">266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2019-11-20</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c>
          <w:tcPr/>
          <w:p>
            <w:pPr>
              <w:pStyle w:val="Compact"/>
              <w:jc w:val="right"/>
            </w:pPr>
            <w:r>
              <w:t xml:space="preserve">396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2019-11-21</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c>
          <w:tcPr/>
          <w:p>
            <w:pPr>
              <w:pStyle w:val="Compact"/>
              <w:jc w:val="right"/>
            </w:pPr>
            <w:r>
              <w:t xml:space="preserve">472</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c>
          <w:tcPr/>
          <w:p>
            <w:pPr>
              <w:pStyle w:val="Compact"/>
              <w:jc w:val="right"/>
            </w:pPr>
            <w:r>
              <w:t xml:space="preserve">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2020-10-21</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2020-10-22</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c>
          <w:tcPr/>
          <w:p>
            <w:pPr>
              <w:pStyle w:val="Compact"/>
              <w:jc w:val="right"/>
            </w:pPr>
            <w:r>
              <w:t xml:space="preserve">356</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2020-10-23</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458</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2020-10-27</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c>
          <w:tcPr/>
          <w:p>
            <w:pPr>
              <w:pStyle w:val="Compact"/>
              <w:jc w:val="right"/>
            </w:pPr>
            <w:r>
              <w:t xml:space="preserve">499</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2020-10-28</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c>
          <w:tcPr/>
          <w:p>
            <w:pPr>
              <w:pStyle w:val="Compact"/>
              <w:jc w:val="right"/>
            </w:pPr>
            <w:r>
              <w:t xml:space="preserve">540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2020-10-29</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c>
          <w:tcPr/>
          <w:p>
            <w:pPr>
              <w:pStyle w:val="Compact"/>
              <w:jc w:val="right"/>
            </w:pPr>
            <w:r>
              <w:t xml:space="preserve">585</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2020-10-30</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c>
          <w:tcPr/>
          <w:p>
            <w:pPr>
              <w:pStyle w:val="Compact"/>
              <w:jc w:val="right"/>
            </w:pPr>
            <w:r>
              <w:t xml:space="preserve">743</w:t>
            </w:r>
          </w:p>
        </w:tc>
      </w:tr>
    </w:tbl>
    <w:p>
      <w:r>
        <w:br w:type="page"/>
      </w:r>
    </w:p>
    <w:p>
      <w:pPr>
        <w:pStyle w:val="TableCaption"/>
      </w:pPr>
      <w:r>
        <w:t xml:space="preserve">Table 3: Point estimates, standard errors, and confidence intervals for each of the mark-recapture estimators and for the fall sampling events. Standard errors are not available for the multiple-census estimators.</w:t>
      </w:r>
    </w:p>
    <w:tbl>
      <w:tblPr>
        <w:tblStyle w:val="Table"/>
        <w:tblW w:type="auto" w:w="0"/>
        <w:tblLook w:firstRow="1" w:lastRow="0" w:firstColumn="0" w:lastColumn="0" w:noHBand="0" w:noVBand="0" w:val="0020"/>
        <w:tblCaption w:val="Table 3: Point estimates, standard errors, and confidence intervals for each of the mark-recapture estimators and for the fall sampling events. Standard errors are not available for the multiple-census estimators."/>
      </w:tblPr>
      <w:tblGrid>
        <w:gridCol w:w="1320"/>
        <w:gridCol w:w="1320"/>
        <w:gridCol w:w="1320"/>
        <w:gridCol w:w="1320"/>
        <w:gridCol w:w="1320"/>
        <w:gridCol w:w="1320"/>
      </w:tblGrid>
      <w:tr>
        <w:trPr>
          <w:tblHeader w:val="true"/>
        </w:trPr>
        <w:tc>
          <w:tcPr/>
          <w:p>
            <w:pPr>
              <w:pStyle w:val="Compact"/>
              <w:jc w:val="left"/>
            </w:pPr>
            <w:r>
              <w:t xml:space="preserve">Sampling Event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Lci</w:t>
            </w:r>
          </w:p>
        </w:tc>
        <w:tc>
          <w:tcPr/>
          <w:p>
            <w:pPr>
              <w:pStyle w:val="Compact"/>
              <w:jc w:val="right"/>
            </w:pPr>
            <w:r>
              <w:t xml:space="preserve">Uci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p>
      <w:pPr>
        <w:pStyle w:val="TableCaption"/>
      </w:pPr>
      <w:r>
        <w:t xml:space="preserve">Table 4: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4: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event_name</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stmch_contents</w:t>
            </w:r>
          </w:p>
        </w:tc>
        <w:tc>
          <w:tcPr/>
          <w:p>
            <w:pPr>
              <w:pStyle w:val="Compact"/>
              <w:jc w:val="right"/>
            </w:pPr>
            <w:r>
              <w:t xml:space="preserve">fish_contents</w:t>
            </w:r>
          </w:p>
        </w:tc>
      </w:tr>
      <w:tr>
        <w:tc>
          <w:tcPr/>
          <w:p>
            <w:pPr>
              <w:pStyle w:val="Compact"/>
              <w:jc w:val="left"/>
            </w:pPr>
            <w:r>
              <w:t xml:space="preserve">Fall_2019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Fall_2020</w:t>
            </w:r>
          </w:p>
        </w:tc>
        <w:tc>
          <w:tcPr/>
          <w:p>
            <w:pPr>
              <w:pStyle w:val="Compact"/>
              <w:jc w:val="right"/>
            </w:pPr>
            <w:r>
              <w:t xml:space="preserve">803</w:t>
            </w:r>
          </w:p>
        </w:tc>
        <w:tc>
          <w:tcPr/>
          <w:p>
            <w:pPr>
              <w:pStyle w:val="Compact"/>
              <w:jc w:val="right"/>
            </w:pPr>
            <w:r>
              <w:t xml:space="preserve">799</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Spring_2021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1,669</w:t>
            </w:r>
          </w:p>
        </w:tc>
        <w:tc>
          <w:tcPr/>
          <w:p>
            <w:pPr>
              <w:pStyle w:val="Compact"/>
              <w:jc w:val="right"/>
            </w:pPr>
            <w:r>
              <w:t xml:space="preserve">1,564</w:t>
            </w:r>
          </w:p>
        </w:tc>
        <w:tc>
          <w:tcPr/>
          <w:p>
            <w:pPr>
              <w:pStyle w:val="Compact"/>
              <w:jc w:val="right"/>
            </w:pPr>
            <w:r>
              <w:t xml:space="preserve">350</w:t>
            </w:r>
          </w:p>
        </w:tc>
        <w:tc>
          <w:tcPr/>
          <w:p>
            <w:pPr>
              <w:pStyle w:val="Compact"/>
              <w:jc w:val="right"/>
            </w:pPr>
            <w:r>
              <w:t xml:space="preserve">44</w:t>
            </w:r>
          </w:p>
        </w:tc>
      </w:tr>
    </w:tbl>
    <w:p>
      <w:r>
        <w:br w:type="page"/>
      </w:r>
    </w:p>
    <w:bookmarkEnd w:id="81"/>
    <w:bookmarkStart w:id="91" w:name="figures"/>
    <w:p>
      <w:pPr>
        <w:pStyle w:val="Heading1"/>
      </w:pPr>
      <w:r>
        <w:t xml:space="preserve">Figures</w:t>
      </w:r>
    </w:p>
    <w:bookmarkStart w:id="82" w:name="figures"/>
    <w:bookmarkEnd w:id="82"/>
    <w:p>
      <w:pPr>
        <w:pStyle w:val="CaptionedFigure"/>
      </w:pPr>
      <w:r>
        <w:drawing>
          <wp:inline>
            <wp:extent cx="5581592" cy="2725809"/>
            <wp:effectExtent b="0" l="0" r="0" t="0"/>
            <wp:docPr descr="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83"/>
                    <a:stretch>
                      <a:fillRect/>
                    </a:stretch>
                  </pic:blipFill>
                  <pic:spPr bwMode="auto">
                    <a:xfrm>
                      <a:off x="0" y="0"/>
                      <a:ext cx="5581592" cy="2725809"/>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The number of Northern Pikeminnow caught per angler effort for each sampling event." title="" id="1" name="Picture"/>
            <a:graphic>
              <a:graphicData uri="http://schemas.openxmlformats.org/drawingml/2006/picture">
                <pic:pic>
                  <pic:nvPicPr>
                    <pic:cNvPr descr="../figures/cpue-fig-1.png" id="0" name="Picture"/>
                    <pic:cNvPicPr>
                      <a:picLocks noChangeArrowheads="1" noChangeAspect="1"/>
                    </pic:cNvPicPr>
                  </pic:nvPicPr>
                  <pic:blipFill>
                    <a:blip r:embed="rId84"/>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The number of Northern Pikeminnow caught per angler effort for each sampling event.</w:t>
      </w:r>
    </w:p>
    <w:p>
      <w:r>
        <w:br w:type="page"/>
      </w:r>
    </w:p>
    <w:p>
      <w:pPr>
        <w:pStyle w:val="CaptionedFigure"/>
      </w:pPr>
      <w:r>
        <w:drawing>
          <wp:inline>
            <wp:extent cx="5504749" cy="3669832"/>
            <wp:effectExtent b="0" l="0" r="0" t="0"/>
            <wp:docPr descr="Figure 3: Estimates of abundance of Northern Pikeminnow using different mark-recapture estimators and for the fall sampling events. Note the y-axis is truncated at 100." title="" id="1" name="Picture"/>
            <a:graphic>
              <a:graphicData uri="http://schemas.openxmlformats.org/drawingml/2006/picture">
                <pic:pic>
                  <pic:nvPicPr>
                    <pic:cNvPr descr="../figures/abund-fig-1.png" id="0" name="Picture"/>
                    <pic:cNvPicPr>
                      <a:picLocks noChangeArrowheads="1" noChangeAspect="1"/>
                    </pic:cNvPicPr>
                  </pic:nvPicPr>
                  <pic:blipFill>
                    <a:blip r:embed="rId85"/>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Estimates of abundance of Northern Pikeminnow using different mark-recapture estimators and for the fall sampling events. Note the y-axis is truncated at 100.</w:t>
      </w:r>
    </w:p>
    <w:p>
      <w:r>
        <w:br w:type="page"/>
      </w:r>
    </w:p>
    <w:p>
      <w:pPr>
        <w:pStyle w:val="CaptionedFigure"/>
      </w:pPr>
      <w:r>
        <w:drawing>
          <wp:inline>
            <wp:extent cx="5504749" cy="3669832"/>
            <wp:effectExtent b="0" l="0" r="0" t="0"/>
            <wp:docPr descr="Figure 4: First bioenergetics plot." title="" id="1" name="Picture"/>
            <a:graphic>
              <a:graphicData uri="http://schemas.openxmlformats.org/drawingml/2006/picture">
                <pic:pic>
                  <pic:nvPicPr>
                    <pic:cNvPr descr="../figures/fall-bio-fig-1.png" id="0" name="Picture"/>
                    <pic:cNvPicPr>
                      <a:picLocks noChangeArrowheads="1" noChangeAspect="1"/>
                    </pic:cNvPicPr>
                  </pic:nvPicPr>
                  <pic:blipFill>
                    <a:blip r:embed="rId8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First bioenergetics plot.</w:t>
      </w:r>
    </w:p>
    <w:p>
      <w:r>
        <w:br w:type="page"/>
      </w:r>
    </w:p>
    <w:p>
      <w:pPr>
        <w:pStyle w:val="CaptionedFigure"/>
      </w:pPr>
      <w:r>
        <w:drawing>
          <wp:inline>
            <wp:extent cx="5504749" cy="3669832"/>
            <wp:effectExtent b="0" l="0" r="0" t="0"/>
            <wp:docPr descr="Figure 5: Next bioenergetics plot." title="" id="1" name="Picture"/>
            <a:graphic>
              <a:graphicData uri="http://schemas.openxmlformats.org/drawingml/2006/picture">
                <pic:pic>
                  <pic:nvPicPr>
                    <pic:cNvPr descr="../figures/full-yr-ng-fig-1.png" id="0" name="Picture"/>
                    <pic:cNvPicPr>
                      <a:picLocks noChangeArrowheads="1" noChangeAspect="1"/>
                    </pic:cNvPicPr>
                  </pic:nvPicPr>
                  <pic:blipFill>
                    <a:blip r:embed="rId8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Next bioenergetics plot.</w:t>
      </w:r>
    </w:p>
    <w:p>
      <w:r>
        <w:br w:type="page"/>
      </w:r>
    </w:p>
    <w:p>
      <w:pPr>
        <w:pStyle w:val="CaptionedFigure"/>
      </w:pPr>
      <w:r>
        <w:drawing>
          <wp:inline>
            <wp:extent cx="5504749" cy="3669832"/>
            <wp:effectExtent b="0" l="0" r="0" t="0"/>
            <wp:docPr descr="Figure 6: A length frequency plot." title="" id="1" name="Picture"/>
            <a:graphic>
              <a:graphicData uri="http://schemas.openxmlformats.org/drawingml/2006/picture">
                <pic:pic>
                  <pic:nvPicPr>
                    <pic:cNvPr descr="../figures/length-freq-p-1.png" id="0" name="Picture"/>
                    <pic:cNvPicPr>
                      <a:picLocks noChangeArrowheads="1" noChangeAspect="1"/>
                    </pic:cNvPicPr>
                  </pic:nvPicPr>
                  <pic:blipFill>
                    <a:blip r:embed="rId8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A length frequency plot.</w:t>
      </w:r>
    </w:p>
    <w:p>
      <w:r>
        <w:br w:type="page"/>
      </w:r>
    </w:p>
    <w:p>
      <w:pPr>
        <w:pStyle w:val="CaptionedFigure"/>
      </w:pPr>
      <w:r>
        <w:drawing>
          <wp:inline>
            <wp:extent cx="5504749" cy="3669832"/>
            <wp:effectExtent b="0" l="0" r="0" t="0"/>
            <wp:docPr descr="Figure 7: The adult impacts plot." title="" id="1" name="Picture"/>
            <a:graphic>
              <a:graphicData uri="http://schemas.openxmlformats.org/drawingml/2006/picture">
                <pic:pic>
                  <pic:nvPicPr>
                    <pic:cNvPr descr="../figures/adult-imp-p-1.png" id="0" name="Picture"/>
                    <pic:cNvPicPr>
                      <a:picLocks noChangeArrowheads="1" noChangeAspect="1"/>
                    </pic:cNvPicPr>
                  </pic:nvPicPr>
                  <pic:blipFill>
                    <a:blip r:embed="rId8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7: The adult impacts plot.</w:t>
      </w:r>
    </w:p>
    <w:p>
      <w:r>
        <w:br w:type="page"/>
      </w:r>
    </w:p>
    <w:bookmarkStart w:id="90" w:name="colophon"/>
    <w:p>
      <w:pPr>
        <w:pStyle w:val="Heading3"/>
      </w:pPr>
      <w:r>
        <w:t xml:space="preserve">Colophon</w:t>
      </w:r>
    </w:p>
    <w:p>
      <w:pPr>
        <w:pStyle w:val="FirstParagraph"/>
      </w:pPr>
      <w:r>
        <w:t xml:space="preserve">This report was generated on 2021-12-20 14:42:52 using the following computational environment and dependencies:</w:t>
      </w:r>
    </w:p>
    <w:p>
      <w:pPr>
        <w:pStyle w:val="SourceCode"/>
      </w:pPr>
      <w:r>
        <w:rPr>
          <w:rStyle w:val="VerbatimChar"/>
        </w:rPr>
        <w:t xml:space="preserve">#&gt; - Session info  --------------------------------------------------------------</w:t>
      </w:r>
      <w:r>
        <w:br/>
      </w:r>
      <w:r>
        <w:rPr>
          <w:rStyle w:val="VerbatimChar"/>
        </w:rPr>
        <w:t xml:space="preserve">#&gt;  hash: Libra, woman: medium-dark skin tone, red hair, person golfing: medium-light skin tone</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2021-12-20</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[af902ed] 2021-12-20: Merge branch 'main' of https://github.com/BiomarkABS/DeadwaterPaper</w:t>
      </w:r>
    </w:p>
    <w:bookmarkEnd w:id="90"/>
    <w:bookmarkEnd w:id="91"/>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84" Target="media/rId84.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hyperlink" Id="rId35" Target="https://www.audubon.org/important-bird-areas/deadwater-slough#" TargetMode="External" /><Relationship Type="http://schemas.openxmlformats.org/officeDocument/2006/relationships/hyperlink" Id="rId36"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35" Target="https://www.audubon.org/important-bird-areas/deadwater-slough#" TargetMode="External" /><Relationship Type="http://schemas.openxmlformats.org/officeDocument/2006/relationships/hyperlink" Id="rId36"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and Potential Impacts to Local Populations in the Upper Salmon River, Idaho</dc:title>
  <dc:creator>Michael W. Ackerman1,2,✉, Nicholas J. Porter2, Kevin E. See2,3, Michael S. Hall2, Tara E. Blackman4, and Richard A. Carmichael2</dc:creator>
  <cp:keywords/>
  <dcterms:created xsi:type="dcterms:W3CDTF">2021-12-20T21:42:54Z</dcterms:created>
  <dcterms:modified xsi:type="dcterms:W3CDTF">2021-12-20T21:42:54Z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20 December,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